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1BA05">
      <w:pPr>
        <w:spacing w:afterLines="200" w:line="360" w:lineRule="auto"/>
        <w:jc w:val="center"/>
        <w:rPr>
          <w:rFonts w:ascii="Arial Unicode MS" w:hAnsi="Arial Unicode MS"/>
          <w:b/>
          <w:sz w:val="44"/>
          <w:szCs w:val="44"/>
        </w:rPr>
      </w:pPr>
      <w:r>
        <w:rPr>
          <w:rFonts w:hint="eastAsia" w:ascii="Arial Unicode MS" w:hAnsi="Arial Unicode MS"/>
          <w:b/>
          <w:sz w:val="44"/>
          <w:szCs w:val="44"/>
        </w:rPr>
        <w:t>重点实验室开放课题申请指南及管理办法</w:t>
      </w:r>
    </w:p>
    <w:p w14:paraId="14324723">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推进我国各种新型激光器件国产化和功能材料开发及应用研究，海南省激光技术与光电功能材料重点实验室（以下简称重点实验室），按照海南省科技厅的要求，特设立重点实验室开放课题。欢迎国内外同行申请。具体的规定如下：</w:t>
      </w:r>
    </w:p>
    <w:p w14:paraId="7F1A798A">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一、资助领域</w:t>
      </w:r>
    </w:p>
    <w:p w14:paraId="34672852">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实验室主要开展各种新型激光器件国产化和功能材料开发及应用的技术研究。面向深海科技和航天领域的需求，加强研发及产业化平台建设，开展激光器前沿技术创新及功能材料开发与应用研究，提供激光器和功能材料新技术研究成果，促进成果转化和技术辐射，带动我省在深海研究和航天技术等领域中高新制造、低碳环保技术的开发与应用水平提升和进步，增强我省参与国家经济建设的技术创新能力和高科技产品市场竞争力，推动海南省高新制造技术及产业的发展。</w:t>
      </w:r>
    </w:p>
    <w:p w14:paraId="44F96B9D">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二、重点资助</w:t>
      </w:r>
      <w:r>
        <w:rPr>
          <w:rFonts w:hint="eastAsia" w:asciiTheme="minorEastAsia" w:hAnsiTheme="minorEastAsia" w:eastAsiaTheme="minorEastAsia"/>
          <w:sz w:val="28"/>
          <w:szCs w:val="28"/>
        </w:rPr>
        <w:t>研究方向</w:t>
      </w:r>
    </w:p>
    <w:p w14:paraId="316FE05D">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1、</w:t>
      </w:r>
      <w:r>
        <w:rPr>
          <w:rFonts w:hint="eastAsia" w:asciiTheme="minorEastAsia" w:hAnsiTheme="minorEastAsia" w:eastAsiaTheme="minorEastAsia"/>
          <w:b/>
          <w:bCs w:val="0"/>
          <w:szCs w:val="28"/>
        </w:rPr>
        <w:t>方向一：高功率激光物理与技术研究</w:t>
      </w:r>
      <w:r>
        <w:rPr>
          <w:rFonts w:hint="eastAsia" w:asciiTheme="minorEastAsia" w:hAnsiTheme="minorEastAsia" w:eastAsiaTheme="minorEastAsia"/>
          <w:szCs w:val="28"/>
        </w:rPr>
        <w:t>；</w:t>
      </w:r>
    </w:p>
    <w:p w14:paraId="5AD97DFA">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2、</w:t>
      </w:r>
      <w:r>
        <w:rPr>
          <w:rFonts w:hint="eastAsia" w:asciiTheme="minorEastAsia" w:hAnsiTheme="minorEastAsia" w:eastAsiaTheme="minorEastAsia"/>
          <w:b/>
          <w:bCs w:val="0"/>
          <w:szCs w:val="28"/>
        </w:rPr>
        <w:t>方向二：激光与物质相互作用研究</w:t>
      </w:r>
      <w:r>
        <w:rPr>
          <w:rFonts w:hint="eastAsia" w:asciiTheme="minorEastAsia" w:hAnsiTheme="minorEastAsia" w:eastAsiaTheme="minorEastAsia"/>
          <w:szCs w:val="28"/>
        </w:rPr>
        <w:t>；</w:t>
      </w:r>
    </w:p>
    <w:p w14:paraId="492387F5">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3、</w:t>
      </w:r>
      <w:r>
        <w:rPr>
          <w:rFonts w:hint="eastAsia" w:asciiTheme="minorEastAsia" w:hAnsiTheme="minorEastAsia" w:eastAsiaTheme="minorEastAsia"/>
          <w:b/>
          <w:bCs/>
          <w:sz w:val="28"/>
          <w:szCs w:val="28"/>
        </w:rPr>
        <w:t>方向三：功能材料及应用基础研究</w:t>
      </w:r>
      <w:r>
        <w:rPr>
          <w:rFonts w:hint="eastAsia" w:asciiTheme="minorEastAsia" w:hAnsiTheme="minorEastAsia" w:eastAsiaTheme="minorEastAsia"/>
          <w:sz w:val="28"/>
          <w:szCs w:val="28"/>
          <w:lang w:val="en-US"/>
        </w:rPr>
        <w:t>；</w:t>
      </w:r>
    </w:p>
    <w:p w14:paraId="25262AFE">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4、</w:t>
      </w:r>
      <w:r>
        <w:rPr>
          <w:rFonts w:hint="eastAsia" w:asciiTheme="minorEastAsia" w:hAnsiTheme="minorEastAsia" w:eastAsiaTheme="minorEastAsia"/>
          <w:b/>
          <w:bCs w:val="0"/>
          <w:szCs w:val="28"/>
        </w:rPr>
        <w:t>方向四：高功率激光应用技术研究</w:t>
      </w:r>
      <w:r>
        <w:rPr>
          <w:rFonts w:hint="eastAsia" w:asciiTheme="minorEastAsia" w:hAnsiTheme="minorEastAsia" w:eastAsiaTheme="minorEastAsia"/>
          <w:szCs w:val="28"/>
        </w:rPr>
        <w:t>。</w:t>
      </w:r>
    </w:p>
    <w:p w14:paraId="1E1F5A04">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三、申请条件</w:t>
      </w:r>
    </w:p>
    <w:p w14:paraId="2451A4EE">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面向国内同行开放。资助对象为国内各研究单位、大专院校和其他部门科研人员及博士生和博士后，年龄一般应在六十岁以下。鼓励申请人员与重点实验室内部研究人员联合申请。每项课题的研究人员包括申请人以不超过5人为宜。申请课题的研究内容原则上要符合申请指南所规定的资助范围。申请者应得到所在单位或部门的同意。</w:t>
      </w:r>
    </w:p>
    <w:p w14:paraId="011EE46A">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四、申报程序</w:t>
      </w:r>
    </w:p>
    <w:p w14:paraId="7B099025">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申请人必须按规定的格式实事求是地填写《</w:t>
      </w:r>
      <w:r>
        <w:rPr>
          <w:rFonts w:hint="eastAsia" w:asciiTheme="minorEastAsia" w:hAnsiTheme="minorEastAsia" w:eastAsiaTheme="minorEastAsia"/>
          <w:sz w:val="28"/>
          <w:szCs w:val="28"/>
        </w:rPr>
        <w:t>海南省激光技术与光电功能材料重点实验室</w:t>
      </w:r>
      <w:r>
        <w:rPr>
          <w:rFonts w:hint="eastAsia" w:asciiTheme="minorEastAsia" w:hAnsiTheme="minorEastAsia" w:eastAsiaTheme="minorEastAsia"/>
          <w:sz w:val="28"/>
          <w:szCs w:val="28"/>
          <w:lang w:val="en-US"/>
        </w:rPr>
        <w:t xml:space="preserve">》(以下简称《申请书》)。 </w:t>
      </w:r>
    </w:p>
    <w:p w14:paraId="0D8A836D">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开放课题的申请每年受理一次，申报时间为4月29日-5月15日。申请人必须在规定的时间将申请书电子版发送至邮箱974526627@qq.com 。</w:t>
      </w:r>
    </w:p>
    <w:p w14:paraId="261DCF42">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五、审批程序</w:t>
      </w:r>
    </w:p>
    <w:p w14:paraId="0F3FFA4A">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优先资助学术思想新颖、立论根据充分、目标明确、研究内容具体、研究方法与技术路线合理、2-3年内可取得成果的研究项目。课题评审是在书面评审基础上，再由学术委员会决定是否予以资助。公示期为5天。一般安排在每年的第四季度审定,并通过Email通知申请人。有下列情况之一的申请不受理：（1）《申请书》不合要求，申报材料不齐全；（2）不符合资助范围。</w:t>
      </w:r>
    </w:p>
    <w:p w14:paraId="49272343">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六、课题管理</w:t>
      </w:r>
    </w:p>
    <w:p w14:paraId="3AF90C27">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1、每项课题的资助</w:t>
      </w:r>
      <w:r>
        <w:rPr>
          <w:rFonts w:hint="eastAsia" w:asciiTheme="minorEastAsia" w:hAnsiTheme="minorEastAsia" w:eastAsiaTheme="minorEastAsia"/>
          <w:sz w:val="28"/>
          <w:szCs w:val="28"/>
        </w:rPr>
        <w:t>额度2</w:t>
      </w:r>
      <w:r>
        <w:rPr>
          <w:rFonts w:hint="eastAsia" w:asciiTheme="minorEastAsia" w:hAnsiTheme="minorEastAsia" w:eastAsiaTheme="minorEastAsia"/>
          <w:sz w:val="28"/>
          <w:szCs w:val="28"/>
          <w:lang w:val="en-US" w:eastAsia="zh-CN"/>
        </w:rPr>
        <w:t>万元</w:t>
      </w:r>
      <w:r>
        <w:rPr>
          <w:rFonts w:hint="eastAsia" w:asciiTheme="minorEastAsia" w:hAnsiTheme="minorEastAsia" w:eastAsiaTheme="minorEastAsia"/>
          <w:sz w:val="28"/>
          <w:szCs w:val="28"/>
        </w:rPr>
        <w:t>-4万元</w:t>
      </w:r>
      <w:r>
        <w:rPr>
          <w:rFonts w:hint="eastAsia" w:asciiTheme="minorEastAsia" w:hAnsiTheme="minorEastAsia" w:eastAsiaTheme="minorEastAsia"/>
          <w:sz w:val="28"/>
          <w:szCs w:val="28"/>
          <w:lang w:val="en-US"/>
        </w:rPr>
        <w:t>人民币，执行期限为1-2年。</w:t>
      </w:r>
    </w:p>
    <w:p w14:paraId="622989F4">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2、课题获得资助后，承担人须按照任务书执行。</w:t>
      </w:r>
    </w:p>
    <w:p w14:paraId="4D8DFFAE">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3、研究课题无法按期完成，要求改变研究内容，或要求中断，都必须及时向本实验室提出书面报告，中断课题的经费余额应交还本实验室或中止使用。</w:t>
      </w:r>
    </w:p>
    <w:p w14:paraId="0BB89ACF">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七、经费管理和使用规定</w:t>
      </w:r>
    </w:p>
    <w:p w14:paraId="6095686A">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为了规范海南省激光技术与光电功能材料重点实验室开放基金的利用与管理，有序实施重点实验室的对外开放与交流，特制定《重点实验室开放基金管理细则》。</w:t>
      </w:r>
    </w:p>
    <w:p w14:paraId="203736E3">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（一）课题实施管理细则</w:t>
      </w:r>
    </w:p>
    <w:p w14:paraId="0607B635">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1.课题的研究期限为1-2年。每年选择2-3项支助，每项经费支持额度2</w:t>
      </w:r>
      <w:r>
        <w:rPr>
          <w:rFonts w:hint="eastAsia" w:asciiTheme="minorEastAsia" w:hAnsiTheme="minorEastAsia" w:eastAsiaTheme="minorEastAsia"/>
          <w:sz w:val="28"/>
          <w:szCs w:val="28"/>
          <w:lang w:val="en-US" w:eastAsia="zh-CN"/>
        </w:rPr>
        <w:t>万元</w:t>
      </w:r>
      <w:bookmarkStart w:id="0" w:name="_GoBack"/>
      <w:bookmarkEnd w:id="0"/>
      <w:r>
        <w:rPr>
          <w:rFonts w:hint="eastAsia" w:asciiTheme="minorEastAsia" w:hAnsiTheme="minorEastAsia" w:eastAsiaTheme="minorEastAsia"/>
          <w:sz w:val="28"/>
          <w:szCs w:val="28"/>
        </w:rPr>
        <w:t>-4万元。课题项目经本实验室学术委员会专家进行会议评审后，由室务会核准。</w:t>
      </w:r>
    </w:p>
    <w:p w14:paraId="44D98118">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2.实行课题负责制。课题负责人负责研究工作的组织和经费的使用。课题经批准后，征得课题负责人同意由实验室指派若干本室科技人员参加课题研究工作。</w:t>
      </w:r>
    </w:p>
    <w:p w14:paraId="2B0CA0D6">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课题经批准后，应按要求填写“合同计划书”；每年年初根据研究计划，申报来实验室的工作计划，经实验室统筹安排后，通知来室工作的具体时间；年终填报“年度计划执行情况报告”；课题结束时填报课题“结题报告”。</w:t>
      </w:r>
    </w:p>
    <w:p w14:paraId="21E63B64">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4.实验室每年举行一次学术委员会会议或通讯会议，检查交流课题研究工作进展和实验室管理工作情况，并对实验室管理提出建议。</w:t>
      </w:r>
    </w:p>
    <w:p w14:paraId="4A09E491">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本实验室开放基金资助的课题，至少应有以本实验室为合作单位发表的中文核心刊物论文2篇或SCI刊物论文1篇，需注明“海南省激光技术与光电功能材料重点实验室开放基金资助”。对于以本实验室为第一完成单位的论文，实验室将根据《实验室科技成果奖励办法》给予奖励。</w:t>
      </w:r>
    </w:p>
    <w:p w14:paraId="3A824B2E">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本实验室资助的研究课题或与本实验室合作研究的课题，其研究成果由本实验室和课题负责人所在单位共享。自带经费来本实验室研究的课题，研究成果属于课题负责人所在单位；成果上报或发表文章时，以注明或以致谢形式说明得到本室的协助。</w:t>
      </w:r>
      <w:r>
        <w:rPr>
          <w:rFonts w:hint="eastAsia" w:cs="Arial" w:asciiTheme="minorEastAsia" w:hAnsiTheme="minorEastAsia" w:eastAsiaTheme="minorEastAsia"/>
          <w:color w:val="333333"/>
          <w:sz w:val="28"/>
          <w:szCs w:val="28"/>
        </w:rPr>
        <w:t xml:space="preserve"> </w:t>
      </w:r>
    </w:p>
    <w:p w14:paraId="383D85BC">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7.课题结束后，由本实验室学术委员会对其完成情况进行评议，作为实验室资料归档。</w:t>
      </w:r>
    </w:p>
    <w:p w14:paraId="157048BB">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8.课题原则上不予延长。如有特殊需要延长，延长时间不得超过半年。</w:t>
      </w:r>
    </w:p>
    <w:p w14:paraId="22BB860F">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9.课题结束后，课题负责人应清理器材，提交归档材料，由实验室负责建立课题档案。</w:t>
      </w:r>
    </w:p>
    <w:p w14:paraId="2A896F94">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10.对于课题执行良好，并符合下列条件者，将在继续申请时予以优先资助：</w:t>
      </w:r>
    </w:p>
    <w:p w14:paraId="396951B2">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(1)获得国家自然科学基金等国家级项目资助者；</w:t>
      </w:r>
    </w:p>
    <w:p w14:paraId="2BF2F0EA">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(2)与本室合作发表高水平论文、国际学术会议或国内一级学会会议特邀报告者；</w:t>
      </w:r>
    </w:p>
    <w:p w14:paraId="2358B206">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(3)与本室合作获省部委二等成果奖以上的主要贡献者。</w:t>
      </w:r>
    </w:p>
    <w:p w14:paraId="00F732D1">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（二） 课题经费管理细则</w:t>
      </w:r>
    </w:p>
    <w:p w14:paraId="6BC180EE">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cs="Arial" w:asciiTheme="minorEastAsia" w:hAnsiTheme="minorEastAsia" w:eastAsiaTheme="minorEastAsia"/>
          <w:color w:val="333333"/>
          <w:sz w:val="28"/>
          <w:szCs w:val="28"/>
        </w:rPr>
        <w:t xml:space="preserve"> 课题研究期限一般为1-2年。基金一次核定，</w:t>
      </w:r>
      <w:r>
        <w:rPr>
          <w:rFonts w:hint="eastAsia" w:cs="Arial" w:asciiTheme="minorEastAsia" w:hAnsiTheme="minorEastAsia" w:eastAsiaTheme="minorEastAsia"/>
          <w:color w:val="333333"/>
          <w:sz w:val="28"/>
          <w:szCs w:val="28"/>
        </w:rPr>
        <w:t>全额拨付</w:t>
      </w:r>
      <w:r>
        <w:rPr>
          <w:rFonts w:cs="Arial" w:asciiTheme="minorEastAsia" w:hAnsiTheme="minorEastAsia" w:eastAsiaTheme="minorEastAsia"/>
          <w:color w:val="333333"/>
          <w:sz w:val="28"/>
          <w:szCs w:val="28"/>
        </w:rPr>
        <w:t>。</w:t>
      </w:r>
    </w:p>
    <w:p w14:paraId="0C9D3D9A">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cs="Arial" w:asciiTheme="minorEastAsia" w:hAnsiTheme="minorEastAsia" w:eastAsiaTheme="minorEastAsia"/>
          <w:color w:val="333333"/>
          <w:sz w:val="28"/>
          <w:szCs w:val="28"/>
        </w:rPr>
        <w:t xml:space="preserve"> 与获资助课题直接有关的研究费用。如材料费、加工费、</w:t>
      </w:r>
      <w:r>
        <w:rPr>
          <w:rFonts w:hint="eastAsia" w:cs="Arial" w:asciiTheme="minorEastAsia" w:hAnsiTheme="minorEastAsia" w:eastAsiaTheme="minorEastAsia"/>
          <w:color w:val="333333"/>
          <w:sz w:val="28"/>
          <w:szCs w:val="28"/>
        </w:rPr>
        <w:t>测试</w:t>
      </w:r>
      <w:r>
        <w:rPr>
          <w:rFonts w:cs="Arial" w:asciiTheme="minorEastAsia" w:hAnsiTheme="minorEastAsia" w:eastAsiaTheme="minorEastAsia"/>
          <w:color w:val="333333"/>
          <w:sz w:val="28"/>
          <w:szCs w:val="28"/>
        </w:rPr>
        <w:t>费、水电费、差旅费等。</w:t>
      </w:r>
      <w:r>
        <w:rPr>
          <w:rFonts w:hint="eastAsia" w:asciiTheme="minorEastAsia" w:hAnsiTheme="minorEastAsia" w:eastAsiaTheme="minorEastAsia"/>
          <w:sz w:val="28"/>
          <w:szCs w:val="28"/>
        </w:rPr>
        <w:t xml:space="preserve">部分经费可用于文印资料、论文版面费和有关学术活动等。 </w:t>
      </w:r>
    </w:p>
    <w:p w14:paraId="4696E3F0">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3.课题基金的使用方法：课题基金可以在本实验室内使用或拨至申请人单位使用。</w:t>
      </w:r>
    </w:p>
    <w:sectPr>
      <w:footerReference r:id="rId3" w:type="default"/>
      <w:type w:val="continuous"/>
      <w:pgSz w:w="11907" w:h="16834"/>
      <w:pgMar w:top="1769" w:right="1950" w:bottom="1792" w:left="1950"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572232"/>
      <w:docPartObj>
        <w:docPartGallery w:val="autotext"/>
      </w:docPartObj>
    </w:sdtPr>
    <w:sdtContent>
      <w:sdt>
        <w:sdtPr>
          <w:id w:val="171357217"/>
          <w:docPartObj>
            <w:docPartGallery w:val="autotext"/>
          </w:docPartObj>
        </w:sdtPr>
        <w:sdtContent>
          <w:p w14:paraId="041F3420">
            <w:pPr>
              <w:pStyle w:val="3"/>
              <w:jc w:val="center"/>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14:paraId="6A67687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oNotHyphenateCaps/>
  <w:drawingGridHorizontalSpacing w:val="181"/>
  <w:drawingGridVerticalSpacing w:val="181"/>
  <w:doNotShadeFormData w:val="1"/>
  <w:characterSpacingControl w:val="compressPunctuation"/>
  <w:doNotValidateAgainstSchema/>
  <w:doNotDemarcateInvalidXml/>
  <w:compat>
    <w:doNotExpandShiftReturn/>
    <w:useFELayout/>
    <w:compatSetting w:name="compatibilityMode" w:uri="http://schemas.microsoft.com/office/word" w:val="12"/>
  </w:compat>
  <w:rsids>
    <w:rsidRoot w:val="00FB5289"/>
    <w:rsid w:val="00022A83"/>
    <w:rsid w:val="000928B8"/>
    <w:rsid w:val="00095225"/>
    <w:rsid w:val="000A7B44"/>
    <w:rsid w:val="000C1CD8"/>
    <w:rsid w:val="000E2A5F"/>
    <w:rsid w:val="00105DBA"/>
    <w:rsid w:val="001608F4"/>
    <w:rsid w:val="00174B76"/>
    <w:rsid w:val="001A45F0"/>
    <w:rsid w:val="001B44A8"/>
    <w:rsid w:val="002000CF"/>
    <w:rsid w:val="00255F42"/>
    <w:rsid w:val="00293801"/>
    <w:rsid w:val="00293F1A"/>
    <w:rsid w:val="002C425E"/>
    <w:rsid w:val="002D1BC2"/>
    <w:rsid w:val="002E2C48"/>
    <w:rsid w:val="002F366F"/>
    <w:rsid w:val="00321960"/>
    <w:rsid w:val="00357E0A"/>
    <w:rsid w:val="00391BB1"/>
    <w:rsid w:val="003A6973"/>
    <w:rsid w:val="00405AD5"/>
    <w:rsid w:val="00456229"/>
    <w:rsid w:val="00471EB7"/>
    <w:rsid w:val="004B10A2"/>
    <w:rsid w:val="0058559C"/>
    <w:rsid w:val="00687752"/>
    <w:rsid w:val="0069240A"/>
    <w:rsid w:val="006F70D1"/>
    <w:rsid w:val="006F7DA0"/>
    <w:rsid w:val="0071741F"/>
    <w:rsid w:val="00794FD4"/>
    <w:rsid w:val="007A0C69"/>
    <w:rsid w:val="007B45E6"/>
    <w:rsid w:val="007D2655"/>
    <w:rsid w:val="007D6312"/>
    <w:rsid w:val="007F72D2"/>
    <w:rsid w:val="00801E47"/>
    <w:rsid w:val="008615E2"/>
    <w:rsid w:val="008624BA"/>
    <w:rsid w:val="008E5CF8"/>
    <w:rsid w:val="008E7C4E"/>
    <w:rsid w:val="009A3CCF"/>
    <w:rsid w:val="009B0C0E"/>
    <w:rsid w:val="009E268B"/>
    <w:rsid w:val="00AB21F3"/>
    <w:rsid w:val="00B52340"/>
    <w:rsid w:val="00B530CB"/>
    <w:rsid w:val="00B610AB"/>
    <w:rsid w:val="00BA66D8"/>
    <w:rsid w:val="00BB0E7F"/>
    <w:rsid w:val="00BD07B5"/>
    <w:rsid w:val="00BD2FA4"/>
    <w:rsid w:val="00C5555E"/>
    <w:rsid w:val="00D03EF6"/>
    <w:rsid w:val="00D3600B"/>
    <w:rsid w:val="00D36981"/>
    <w:rsid w:val="00EF4CAC"/>
    <w:rsid w:val="00F138D0"/>
    <w:rsid w:val="00F558AB"/>
    <w:rsid w:val="00F749ED"/>
    <w:rsid w:val="00FA5084"/>
    <w:rsid w:val="00FB5289"/>
    <w:rsid w:val="2D741887"/>
    <w:rsid w:val="5141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sz w:val="24"/>
      <w:szCs w:val="24"/>
      <w:lang w:val="zh-CN"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hd w:val="clear" w:color="auto" w:fill="FFFFFF"/>
      <w:spacing w:before="840" w:line="601" w:lineRule="exact"/>
      <w:jc w:val="distribute"/>
    </w:pPr>
    <w:rPr>
      <w:rFonts w:ascii="MingLiU" w:eastAsia="MingLiU" w:cs="MingLiU"/>
      <w:color w:val="auto"/>
      <w:sz w:val="27"/>
      <w:szCs w:val="27"/>
      <w:lang w:val="en-US"/>
    </w:rPr>
  </w:style>
  <w:style w:type="paragraph" w:styleId="3">
    <w:name w:val="footer"/>
    <w:basedOn w:val="1"/>
    <w:link w:val="21"/>
    <w:qFormat/>
    <w:uiPriority w:val="99"/>
    <w:pPr>
      <w:tabs>
        <w:tab w:val="center" w:pos="4153"/>
        <w:tab w:val="right" w:pos="8306"/>
      </w:tabs>
      <w:snapToGrid w:val="0"/>
    </w:pPr>
    <w:rPr>
      <w:sz w:val="18"/>
      <w:szCs w:val="18"/>
    </w:rPr>
  </w:style>
  <w:style w:type="paragraph" w:styleId="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7BC5D5"/>
      <w:u w:val="single"/>
    </w:rPr>
  </w:style>
  <w:style w:type="character" w:customStyle="1" w:styleId="8">
    <w:name w:val="标题 #1_"/>
    <w:basedOn w:val="6"/>
    <w:link w:val="9"/>
    <w:qFormat/>
    <w:uiPriority w:val="0"/>
    <w:rPr>
      <w:rFonts w:ascii="MingLiU" w:eastAsia="MingLiU" w:cs="MingLiU"/>
      <w:spacing w:val="20"/>
      <w:w w:val="120"/>
      <w:sz w:val="34"/>
      <w:szCs w:val="34"/>
      <w:u w:val="none"/>
    </w:rPr>
  </w:style>
  <w:style w:type="paragraph" w:customStyle="1" w:styleId="9">
    <w:name w:val="标题 #1"/>
    <w:basedOn w:val="1"/>
    <w:link w:val="8"/>
    <w:qFormat/>
    <w:uiPriority w:val="0"/>
    <w:pPr>
      <w:shd w:val="clear" w:color="auto" w:fill="FFFFFF"/>
      <w:spacing w:after="840" w:line="240" w:lineRule="atLeast"/>
      <w:jc w:val="center"/>
      <w:outlineLvl w:val="0"/>
    </w:pPr>
    <w:rPr>
      <w:rFonts w:ascii="MingLiU" w:eastAsia="MingLiU" w:cs="MingLiU"/>
      <w:color w:val="auto"/>
      <w:spacing w:val="20"/>
      <w:w w:val="120"/>
      <w:sz w:val="34"/>
      <w:szCs w:val="34"/>
      <w:lang w:val="en-US"/>
    </w:rPr>
  </w:style>
  <w:style w:type="character" w:customStyle="1" w:styleId="10">
    <w:name w:val="正文文本 Char"/>
    <w:basedOn w:val="6"/>
    <w:link w:val="2"/>
    <w:qFormat/>
    <w:uiPriority w:val="0"/>
    <w:rPr>
      <w:rFonts w:ascii="MingLiU" w:eastAsia="MingLiU" w:cs="MingLiU"/>
      <w:sz w:val="27"/>
      <w:szCs w:val="27"/>
      <w:u w:val="none"/>
    </w:rPr>
  </w:style>
  <w:style w:type="character" w:customStyle="1" w:styleId="11">
    <w:name w:val="正文文本 + 14 pt"/>
    <w:basedOn w:val="10"/>
    <w:qFormat/>
    <w:uiPriority w:val="0"/>
    <w:rPr>
      <w:spacing w:val="-20"/>
      <w:sz w:val="28"/>
      <w:szCs w:val="28"/>
    </w:rPr>
  </w:style>
  <w:style w:type="character" w:customStyle="1" w:styleId="12">
    <w:name w:val="正文文本 + 间距 -2 pt"/>
    <w:basedOn w:val="10"/>
    <w:qFormat/>
    <w:uiPriority w:val="0"/>
    <w:rPr>
      <w:spacing w:val="-50"/>
    </w:rPr>
  </w:style>
  <w:style w:type="character" w:customStyle="1" w:styleId="13">
    <w:name w:val="正文文本 + 间距 -2 pt1"/>
    <w:basedOn w:val="10"/>
    <w:qFormat/>
    <w:uiPriority w:val="0"/>
    <w:rPr>
      <w:spacing w:val="-50"/>
    </w:rPr>
  </w:style>
  <w:style w:type="character" w:customStyle="1" w:styleId="14">
    <w:name w:val="正文文本 (2)_"/>
    <w:basedOn w:val="6"/>
    <w:link w:val="15"/>
    <w:qFormat/>
    <w:uiPriority w:val="0"/>
    <w:rPr>
      <w:rFonts w:ascii="MingLiU" w:eastAsia="MingLiU" w:cs="MingLiU"/>
      <w:sz w:val="17"/>
      <w:szCs w:val="17"/>
      <w:u w:val="none"/>
    </w:rPr>
  </w:style>
  <w:style w:type="paragraph" w:customStyle="1" w:styleId="15">
    <w:name w:val="正文文本 (2)"/>
    <w:basedOn w:val="1"/>
    <w:link w:val="14"/>
    <w:qFormat/>
    <w:uiPriority w:val="0"/>
    <w:pPr>
      <w:shd w:val="clear" w:color="auto" w:fill="FFFFFF"/>
      <w:spacing w:line="401" w:lineRule="exact"/>
    </w:pPr>
    <w:rPr>
      <w:rFonts w:ascii="MingLiU" w:eastAsia="MingLiU" w:cs="MingLiU"/>
      <w:color w:val="auto"/>
      <w:sz w:val="17"/>
      <w:szCs w:val="17"/>
      <w:lang w:val="en-US"/>
    </w:rPr>
  </w:style>
  <w:style w:type="character" w:customStyle="1" w:styleId="16">
    <w:name w:val="正文文本 (2) + Arial"/>
    <w:basedOn w:val="14"/>
    <w:uiPriority w:val="0"/>
    <w:rPr>
      <w:rFonts w:ascii="Arial" w:hAnsi="Arial" w:cs="Arial"/>
      <w:b/>
      <w:bCs/>
    </w:rPr>
  </w:style>
  <w:style w:type="character" w:customStyle="1" w:styleId="17">
    <w:name w:val="正文文本 (2) + Tahoma"/>
    <w:basedOn w:val="14"/>
    <w:uiPriority w:val="0"/>
    <w:rPr>
      <w:rFonts w:ascii="Tahoma" w:hAnsi="Tahoma" w:cs="Tahoma"/>
      <w:b/>
      <w:bCs/>
      <w:i/>
      <w:iCs/>
    </w:rPr>
  </w:style>
  <w:style w:type="character" w:customStyle="1" w:styleId="18">
    <w:name w:val="正文文本 (2) + Arial2"/>
    <w:basedOn w:val="14"/>
    <w:qFormat/>
    <w:uiPriority w:val="0"/>
    <w:rPr>
      <w:rFonts w:ascii="Arial" w:hAnsi="Arial" w:cs="Arial"/>
      <w:i/>
      <w:iCs/>
      <w:sz w:val="19"/>
      <w:szCs w:val="19"/>
    </w:rPr>
  </w:style>
  <w:style w:type="character" w:customStyle="1" w:styleId="19">
    <w:name w:val="正文文本 (2) + Arial1"/>
    <w:basedOn w:val="14"/>
    <w:uiPriority w:val="0"/>
    <w:rPr>
      <w:rFonts w:ascii="Arial" w:hAnsi="Arial" w:cs="Arial"/>
      <w:b/>
      <w:bCs/>
      <w:sz w:val="15"/>
      <w:szCs w:val="15"/>
    </w:rPr>
  </w:style>
  <w:style w:type="character" w:customStyle="1" w:styleId="20">
    <w:name w:val="页眉 Char"/>
    <w:basedOn w:val="6"/>
    <w:link w:val="4"/>
    <w:qFormat/>
    <w:uiPriority w:val="0"/>
    <w:rPr>
      <w:color w:val="000000"/>
      <w:sz w:val="18"/>
      <w:szCs w:val="18"/>
      <w:lang w:val="zh-CN"/>
    </w:rPr>
  </w:style>
  <w:style w:type="character" w:customStyle="1" w:styleId="21">
    <w:name w:val="页脚 Char"/>
    <w:basedOn w:val="6"/>
    <w:link w:val="3"/>
    <w:uiPriority w:val="99"/>
    <w:rPr>
      <w:color w:val="000000"/>
      <w:sz w:val="18"/>
      <w:szCs w:val="18"/>
      <w:lang w:val="zh-CN"/>
    </w:rPr>
  </w:style>
  <w:style w:type="character" w:customStyle="1" w:styleId="22">
    <w:name w:val="正文2 Char"/>
    <w:link w:val="23"/>
    <w:locked/>
    <w:uiPriority w:val="0"/>
    <w:rPr>
      <w:rFonts w:ascii="仿宋_GB2312" w:hAnsi="仿宋_GB2312"/>
      <w:bCs/>
      <w:kern w:val="2"/>
      <w:sz w:val="28"/>
      <w:szCs w:val="24"/>
    </w:rPr>
  </w:style>
  <w:style w:type="paragraph" w:customStyle="1" w:styleId="23">
    <w:name w:val="正文2"/>
    <w:basedOn w:val="1"/>
    <w:link w:val="22"/>
    <w:uiPriority w:val="0"/>
    <w:pPr>
      <w:ind w:firstLine="200" w:firstLineChars="200"/>
      <w:jc w:val="both"/>
    </w:pPr>
    <w:rPr>
      <w:rFonts w:ascii="仿宋_GB2312" w:hAnsi="仿宋_GB2312"/>
      <w:bCs/>
      <w:color w:val="auto"/>
      <w:kern w:val="2"/>
      <w:sz w:val="28"/>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4</Pages>
  <Words>1959</Words>
  <Characters>2016</Characters>
  <Lines>14</Lines>
  <Paragraphs>4</Paragraphs>
  <TotalTime>1</TotalTime>
  <ScaleCrop>false</ScaleCrop>
  <LinksUpToDate>false</LinksUpToDate>
  <CharactersWithSpaces>2023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2022-04-29T09:10:00Z</dcterms:created>
  <dc:creator>warry</dc:creator>
  <cp:lastModifiedBy>走两步</cp:lastModifiedBy>
  <dcterms:modified xsi:type="dcterms:W3CDTF">2025-10-10T08:36:46Z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eyJoZGlkIjoiY2M1MDhmMjRkNDJhNmU4YTQxYzg3ZGY0YzVlZWMxMzAiLCJ1c2VySWQiOiIxMjE5MTc5MTExIn0=</vt:lpwstr>
  </property>
  <property fmtid="{D5CDD505-2E9C-101B-9397-08002B2CF9AE}" pid="3" name="KSOProductBuildVer">
    <vt:lpwstr>2052-12.1.0.22529</vt:lpwstr>
  </property>
  <property fmtid="{D5CDD505-2E9C-101B-9397-08002B2CF9AE}" pid="4" name="ICV">
    <vt:lpwstr>74778B4A07A2469C90819814021E358F_12</vt:lpwstr>
  </property>
</Properties>
</file>