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w:t>
      </w:r>
      <w:r>
        <w:rPr>
          <w:rFonts w:hint="default" w:ascii="Times New Roman" w:hAnsi="Times New Roman" w:cs="Times New Roman"/>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rFonts w:hint="default" w:ascii="Times New Roman" w:hAnsi="Times New Roman" w:cs="Times New Roman"/>
          <w:sz w:val="28"/>
          <w:u w:val="single"/>
        </w:rPr>
      </w:pPr>
      <w:r>
        <w:rPr>
          <w:rFonts w:hint="default" w:ascii="Times New Roman" w:hAnsi="Times New Roman" w:cs="Times New Roman"/>
          <w:sz w:val="28"/>
        </w:rPr>
        <w:t xml:space="preserve">单   位 ： </w:t>
      </w:r>
      <w:r>
        <w:rPr>
          <w:rFonts w:hint="default" w:ascii="Times New Roman" w:hAnsi="Times New Roman" w:cs="Times New Roman"/>
          <w:sz w:val="28"/>
          <w:u w:val="single"/>
        </w:rPr>
        <w:t xml:space="preserve">   </w:t>
      </w:r>
      <w:r>
        <w:rPr>
          <w:rFonts w:hint="default" w:ascii="Times New Roman" w:hAnsi="Times New Roman" w:cs="Times New Roman"/>
          <w:sz w:val="28"/>
          <w:u w:val="single"/>
          <w:lang w:val="en-US" w:eastAsia="zh-CN"/>
        </w:rPr>
        <w:t>物理与电子工程学院</w:t>
      </w:r>
      <w:r>
        <w:rPr>
          <w:rFonts w:hint="default" w:ascii="Times New Roman" w:hAnsi="Times New Roman" w:cs="Times New Roman"/>
          <w:sz w:val="28"/>
          <w:u w:val="single"/>
        </w:rPr>
        <w:t xml:space="preserve">       </w:t>
      </w:r>
    </w:p>
    <w:p>
      <w:pPr>
        <w:ind w:firstLine="1960" w:firstLineChars="700"/>
        <w:rPr>
          <w:rFonts w:hint="default" w:ascii="Times New Roman" w:hAnsi="Times New Roman" w:cs="Times New Roman"/>
          <w:sz w:val="28"/>
        </w:rPr>
      </w:pPr>
    </w:p>
    <w:p>
      <w:pPr>
        <w:ind w:firstLine="1960" w:firstLineChars="700"/>
        <w:rPr>
          <w:rFonts w:hint="default" w:ascii="Times New Roman" w:hAnsi="Times New Roman" w:cs="Times New Roman"/>
          <w:sz w:val="30"/>
          <w:u w:val="single"/>
        </w:rPr>
      </w:pPr>
      <w:r>
        <w:rPr>
          <w:rFonts w:hint="default" w:ascii="Times New Roman" w:hAnsi="Times New Roman" w:cs="Times New Roman"/>
          <w:sz w:val="28"/>
        </w:rPr>
        <w:t xml:space="preserve">姓   名 </w:t>
      </w:r>
      <w:r>
        <w:rPr>
          <w:rFonts w:hint="default" w:ascii="Times New Roman" w:hAnsi="Times New Roman" w:cs="Times New Roman"/>
          <w:sz w:val="30"/>
        </w:rPr>
        <w:t xml:space="preserve">： </w:t>
      </w:r>
      <w:r>
        <w:rPr>
          <w:rFonts w:hint="default" w:ascii="Times New Roman" w:hAnsi="Times New Roman" w:cs="Times New Roman"/>
          <w:sz w:val="30"/>
          <w:u w:val="single"/>
        </w:rPr>
        <w:t xml:space="preserve">       </w:t>
      </w:r>
      <w:r>
        <w:rPr>
          <w:rFonts w:hint="default" w:ascii="Times New Roman" w:hAnsi="Times New Roman" w:cs="Times New Roman"/>
          <w:sz w:val="30"/>
          <w:u w:val="single"/>
          <w:lang w:val="en-US" w:eastAsia="zh-CN"/>
        </w:rPr>
        <w:t>钟久明</w:t>
      </w:r>
      <w:r>
        <w:rPr>
          <w:rFonts w:hint="default" w:ascii="Times New Roman" w:hAnsi="Times New Roman" w:cs="Times New Roman"/>
          <w:sz w:val="30"/>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现任专业   </w:t>
      </w: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技术职务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副教授</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u w:val="single"/>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申报专业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自动化</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申报资格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教授（双师型）</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联系电话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bookmarkStart w:id="0" w:name="_GoBack"/>
      <w:bookmarkEnd w:id="0"/>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rFonts w:hint="default" w:ascii="Times New Roman" w:hAnsi="Times New Roman" w:cs="Times New Roman"/>
          <w:sz w:val="24"/>
        </w:rPr>
      </w:pPr>
      <w:r>
        <w:rPr>
          <w:rFonts w:hint="default" w:ascii="Times New Roman" w:hAnsi="Times New Roman" w:cs="Times New Roman"/>
          <w:sz w:val="24"/>
        </w:rPr>
        <w:t>填表时间：</w:t>
      </w:r>
      <w:r>
        <w:rPr>
          <w:rFonts w:hint="default" w:ascii="Times New Roman" w:hAnsi="Times New Roman" w:cs="Times New Roman"/>
          <w:sz w:val="24"/>
          <w:lang w:val="en-US" w:eastAsia="zh-CN"/>
        </w:rPr>
        <w:t xml:space="preserve">2024  </w:t>
      </w:r>
      <w:r>
        <w:rPr>
          <w:rFonts w:hint="default" w:ascii="Times New Roman" w:hAnsi="Times New Roman" w:cs="Times New Roman"/>
          <w:sz w:val="24"/>
        </w:rPr>
        <w:t xml:space="preserve">年  </w:t>
      </w:r>
      <w:r>
        <w:rPr>
          <w:rFonts w:hint="default" w:ascii="Times New Roman" w:hAnsi="Times New Roman" w:cs="Times New Roman"/>
          <w:sz w:val="24"/>
          <w:lang w:val="en-US" w:eastAsia="zh-CN"/>
        </w:rPr>
        <w:t>8</w:t>
      </w:r>
      <w:r>
        <w:rPr>
          <w:rFonts w:hint="default" w:ascii="Times New Roman" w:hAnsi="Times New Roman" w:cs="Times New Roman"/>
          <w:sz w:val="24"/>
        </w:rPr>
        <w:t xml:space="preserve">  月  </w:t>
      </w:r>
      <w:r>
        <w:rPr>
          <w:rFonts w:hint="default" w:ascii="Times New Roman" w:hAnsi="Times New Roman" w:cs="Times New Roman"/>
          <w:sz w:val="24"/>
          <w:lang w:val="en-US" w:eastAsia="zh-CN"/>
        </w:rPr>
        <w:t>6</w:t>
      </w:r>
      <w:r>
        <w:rPr>
          <w:rFonts w:hint="default" w:ascii="Times New Roman" w:hAnsi="Times New Roman" w:cs="Times New Roman"/>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1.本表供本校专业技术人员评审高校教师系列专业技术资格时使用。１—17页由申报者填写，第4页中思想品德鉴定和师德师风表现由所在单位填写并盖章。17—20页由</w:t>
      </w:r>
      <w:r>
        <w:rPr>
          <w:rFonts w:hint="default" w:ascii="Times New Roman" w:hAnsi="Times New Roman" w:eastAsia="仿宋_GB2312" w:cs="Times New Roman"/>
          <w:sz w:val="32"/>
          <w:szCs w:val="32"/>
          <w:lang w:eastAsia="zh-CN"/>
        </w:rPr>
        <w:t>二级单位职称</w:t>
      </w:r>
      <w:r>
        <w:rPr>
          <w:rFonts w:hint="default" w:ascii="Times New Roman" w:hAnsi="Times New Roman" w:eastAsia="仿宋_GB2312" w:cs="Times New Roman"/>
          <w:sz w:val="32"/>
          <w:szCs w:val="32"/>
        </w:rPr>
        <w:t>评议工作委员会</w:t>
      </w:r>
      <w:r>
        <w:rPr>
          <w:rFonts w:hint="default" w:ascii="Times New Roman" w:hAnsi="Times New Roman" w:eastAsia="仿宋_GB2312" w:cs="Times New Roman"/>
          <w:sz w:val="32"/>
        </w:rPr>
        <w:t>或职称办填写。填写内容应经人事部门审核认可，编号由人事部门统一编制。</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2.年月日一律用公历阿拉伯数字填字。</w:t>
      </w:r>
    </w:p>
    <w:p>
      <w:pPr>
        <w:spacing w:line="54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rPr>
        <w:t>3.“相片”一律用近期一寸正面半身免冠照。</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4.“毕业学校”填</w:t>
      </w:r>
      <w:r>
        <w:rPr>
          <w:rFonts w:hint="default" w:ascii="Times New Roman" w:hAnsi="Times New Roman" w:eastAsia="仿宋_GB2312" w:cs="Times New Roman"/>
          <w:sz w:val="32"/>
          <w:lang w:eastAsia="zh-CN"/>
        </w:rPr>
        <w:t>最高学历</w:t>
      </w:r>
      <w:r>
        <w:rPr>
          <w:rFonts w:hint="default" w:ascii="Times New Roman" w:hAnsi="Times New Roman" w:eastAsia="仿宋_GB2312" w:cs="Times New Roman"/>
          <w:sz w:val="32"/>
        </w:rPr>
        <w:t>毕业学校当时的全称。</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5.晋升形式：正常晋升或破格晋升或转评</w:t>
      </w:r>
      <w:r>
        <w:rPr>
          <w:rFonts w:hint="default" w:ascii="Times New Roman" w:hAnsi="Times New Roman" w:eastAsia="仿宋_GB2312" w:cs="Times New Roman"/>
          <w:sz w:val="32"/>
          <w:lang w:eastAsia="zh-CN"/>
        </w:rPr>
        <w:t>或直评</w:t>
      </w:r>
      <w:r>
        <w:rPr>
          <w:rFonts w:hint="default" w:ascii="Times New Roman" w:hAnsi="Times New Roman" w:eastAsia="仿宋_GB2312" w:cs="Times New Roman"/>
          <w:sz w:val="32"/>
        </w:rPr>
        <w:t>。</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6.申报资格名称有：讲师、教学为主型副教授、教学科研型副教授、双师型副教授、教学为主型教授、教学科研型教授、双师型教授。</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7.聘任年限应足年，按“5年6个月”格式填写，一年按12个月计算，如2017年3月起聘，到2018年12月，任职年限就只有</w:t>
      </w:r>
      <w:r>
        <w:rPr>
          <w:rFonts w:hint="default" w:ascii="Times New Roman" w:hAnsi="Times New Roman" w:eastAsia="仿宋_GB2312" w:cs="Times New Roman"/>
          <w:sz w:val="32"/>
          <w:lang w:val="en-US" w:eastAsia="zh-CN"/>
        </w:rPr>
        <w:t>1</w:t>
      </w:r>
      <w:r>
        <w:rPr>
          <w:rFonts w:hint="default" w:ascii="Times New Roman" w:hAnsi="Times New Roman" w:eastAsia="仿宋_GB2312" w:cs="Times New Roman"/>
          <w:sz w:val="32"/>
        </w:rPr>
        <w:t>年10个月，不到</w:t>
      </w:r>
      <w:r>
        <w:rPr>
          <w:rFonts w:hint="default" w:ascii="Times New Roman" w:hAnsi="Times New Roman" w:eastAsia="仿宋_GB2312" w:cs="Times New Roman"/>
          <w:sz w:val="32"/>
          <w:lang w:val="en-US" w:eastAsia="zh-CN"/>
        </w:rPr>
        <w:t>2</w:t>
      </w:r>
      <w:r>
        <w:rPr>
          <w:rFonts w:hint="default" w:ascii="Times New Roman" w:hAnsi="Times New Roman" w:eastAsia="仿宋_GB2312" w:cs="Times New Roman"/>
          <w:sz w:val="32"/>
        </w:rPr>
        <w:t>年。</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8.学年及学期表达：如2017-2018</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一</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、2015-2016</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二</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w:t>
      </w:r>
    </w:p>
    <w:p>
      <w:pPr>
        <w:spacing w:line="540" w:lineRule="exact"/>
        <w:ind w:firstLine="643" w:firstLineChars="200"/>
        <w:rPr>
          <w:rFonts w:hint="default" w:ascii="Times New Roman" w:hAnsi="Times New Roman" w:eastAsia="仿宋_GB2312" w:cs="Times New Roman"/>
          <w:b/>
          <w:sz w:val="32"/>
          <w:u w:val="single"/>
        </w:rPr>
      </w:pPr>
      <w:r>
        <w:rPr>
          <w:rFonts w:hint="default" w:ascii="Times New Roman" w:hAnsi="Times New Roman" w:eastAsia="仿宋_GB2312" w:cs="Times New Roman"/>
          <w:b/>
          <w:sz w:val="32"/>
          <w:u w:val="single"/>
        </w:rPr>
        <w:t>9.如填写表格内容较多，可自行增加行，没有内容的表格可删减行，但至少保留表头及一行，不可全删除。</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10.国际人才</w:t>
      </w:r>
      <w:r>
        <w:rPr>
          <w:rFonts w:hint="default" w:ascii="Times New Roman" w:hAnsi="Times New Roman" w:eastAsia="仿宋_GB2312" w:cs="Times New Roman"/>
          <w:sz w:val="32"/>
          <w:lang w:eastAsia="zh-CN"/>
        </w:rPr>
        <w:t>可</w:t>
      </w:r>
      <w:r>
        <w:rPr>
          <w:rFonts w:hint="default" w:ascii="Times New Roman" w:hAnsi="Times New Roman" w:eastAsia="仿宋_GB2312" w:cs="Times New Roman"/>
          <w:sz w:val="32"/>
        </w:rPr>
        <w:t>依据《海南师范大学国际人才申报认定、高聘与评审高级职称管理办法（试行）》（</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〔2022〕57号）进行申报，评审条件依照《海南师范大学高校教师系列专业技术职务评审管理办法》（</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565"/>
        <w:gridCol w:w="43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姓名</w:t>
            </w:r>
          </w:p>
        </w:tc>
        <w:tc>
          <w:tcPr>
            <w:tcW w:w="1554"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钟久明</w:t>
            </w:r>
          </w:p>
        </w:tc>
        <w:tc>
          <w:tcPr>
            <w:tcW w:w="4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1975.8</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both"/>
              <w:rPr>
                <w:rFonts w:ascii="宋体" w:hAnsi="宋体" w:cs="Arial"/>
                <w:kern w:val="0"/>
                <w:szCs w:val="21"/>
              </w:rPr>
            </w:pPr>
            <w:r>
              <w:rPr>
                <w:sz w:val="22"/>
                <w:szCs w:val="22"/>
              </w:rPr>
              <w:drawing>
                <wp:anchor distT="0" distB="0" distL="114300" distR="114300" simplePos="0" relativeHeight="251659264" behindDoc="0" locked="0" layoutInCell="1" allowOverlap="1">
                  <wp:simplePos x="0" y="0"/>
                  <wp:positionH relativeFrom="column">
                    <wp:posOffset>22860</wp:posOffset>
                  </wp:positionH>
                  <wp:positionV relativeFrom="paragraph">
                    <wp:posOffset>100330</wp:posOffset>
                  </wp:positionV>
                  <wp:extent cx="941070" cy="1243330"/>
                  <wp:effectExtent l="0" t="0" r="3810" b="6350"/>
                  <wp:wrapSquare wrapText="bothSides"/>
                  <wp:docPr id="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7"/>
                          <pic:cNvPicPr>
                            <a:picLocks noChangeAspect="1"/>
                          </pic:cNvPicPr>
                        </pic:nvPicPr>
                        <pic:blipFill>
                          <a:blip r:embed="rId6"/>
                          <a:stretch>
                            <a:fillRect/>
                          </a:stretch>
                        </pic:blipFill>
                        <pic:spPr>
                          <a:xfrm>
                            <a:off x="0" y="0"/>
                            <a:ext cx="941070" cy="1243330"/>
                          </a:xfrm>
                          <a:prstGeom prst="rect">
                            <a:avLst/>
                          </a:prstGeom>
                          <a:noFill/>
                          <a:ln w="1">
                            <a:noFill/>
                          </a:ln>
                        </pic:spPr>
                      </pic:pic>
                    </a:graphicData>
                  </a:graphic>
                </wp:anchor>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高等学校/自动化</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pPr>
              <w:widowControl/>
              <w:jc w:val="center"/>
              <w:rPr>
                <w:rFonts w:ascii="宋体" w:hAnsi="宋体" w:cs="Arial"/>
                <w:kern w:val="0"/>
                <w:szCs w:val="21"/>
              </w:rPr>
            </w:pPr>
            <w:r>
              <w:rPr>
                <w:rFonts w:hint="eastAsia" w:ascii="宋体" w:hAnsi="宋体" w:cs="Arial"/>
                <w:color w:val="000000"/>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83"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kern w:val="0"/>
                <w:szCs w:val="21"/>
              </w:rPr>
            </w:pPr>
            <w:r>
              <w:rPr>
                <w:rFonts w:hint="eastAsia" w:ascii="宋体" w:hAnsi="宋体" w:cs="Arial"/>
                <w:color w:val="000000"/>
                <w:kern w:val="0"/>
                <w:szCs w:val="21"/>
              </w:rPr>
              <w:t>毕业院校</w:t>
            </w:r>
          </w:p>
        </w:tc>
        <w:tc>
          <w:tcPr>
            <w:tcW w:w="155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研究生/西安科技大学</w:t>
            </w:r>
          </w:p>
        </w:tc>
        <w:tc>
          <w:tcPr>
            <w:tcW w:w="71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pPr>
              <w:widowControl/>
              <w:jc w:val="center"/>
              <w:rPr>
                <w:rFonts w:ascii="宋体" w:hAnsi="宋体" w:cs="Arial"/>
                <w:kern w:val="0"/>
                <w:szCs w:val="21"/>
              </w:rPr>
            </w:pPr>
            <w:r>
              <w:rPr>
                <w:rFonts w:hint="eastAsia" w:ascii="宋体" w:hAnsi="宋体" w:cs="Arial"/>
                <w:color w:val="000000"/>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矿山机电工程</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现工作单位</w:t>
            </w:r>
          </w:p>
        </w:tc>
        <w:tc>
          <w:tcPr>
            <w:tcW w:w="155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海南师范大学</w:t>
            </w:r>
          </w:p>
        </w:tc>
        <w:tc>
          <w:tcPr>
            <w:tcW w:w="710" w:type="dxa"/>
            <w:gridSpan w:val="2"/>
            <w:vAlign w:val="center"/>
          </w:tcPr>
          <w:p>
            <w:pPr>
              <w:widowControl/>
              <w:jc w:val="center"/>
              <w:rPr>
                <w:rFonts w:ascii="宋体" w:hAnsi="宋体" w:cs="Arial"/>
                <w:kern w:val="0"/>
                <w:szCs w:val="21"/>
              </w:rPr>
            </w:pPr>
            <w:r>
              <w:rPr>
                <w:rFonts w:hint="eastAsia" w:ascii="宋体" w:hAnsi="宋体" w:cs="Arial"/>
                <w:color w:val="000000"/>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2006.7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取得现专业技术资格及时间</w:t>
            </w:r>
          </w:p>
        </w:tc>
        <w:tc>
          <w:tcPr>
            <w:tcW w:w="2271"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Times New Roman" w:hAnsi="Times New Roman" w:cs="Times New Roman"/>
                <w:color w:val="000000"/>
                <w:kern w:val="0"/>
                <w:szCs w:val="21"/>
                <w:lang w:val="en-US" w:eastAsia="zh-CN"/>
              </w:rPr>
            </w:pPr>
          </w:p>
          <w:p>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副教授/2013年12月</w:t>
            </w:r>
          </w:p>
          <w:p>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申请学科组名称</w:t>
            </w:r>
          </w:p>
          <w:p>
            <w:pPr>
              <w:widowControl/>
              <w:jc w:val="center"/>
              <w:rPr>
                <w:rFonts w:ascii="宋体" w:hAnsi="宋体" w:cs="Arial"/>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lang w:eastAsia="zh-CN"/>
              </w:rPr>
              <w:t>☑</w:t>
            </w:r>
            <w:r>
              <w:rPr>
                <w:rFonts w:hint="eastAsia" w:cs="Arial" w:asciiTheme="minorEastAsia" w:hAnsiTheme="minorEastAsia"/>
                <w:color w:val="000000" w:themeColor="text1"/>
                <w:kern w:val="0"/>
                <w:szCs w:val="21"/>
              </w:rPr>
              <w:t>自然科学</w:t>
            </w:r>
          </w:p>
          <w:p>
            <w:pPr>
              <w:widowControl/>
              <w:rPr>
                <w:rFonts w:ascii="宋体" w:hAnsi="宋体" w:cs="Arial"/>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现任专业技术职务聘任时间及聘任单位</w:t>
            </w:r>
          </w:p>
        </w:tc>
        <w:tc>
          <w:tcPr>
            <w:tcW w:w="2271" w:type="dxa"/>
            <w:gridSpan w:val="5"/>
            <w:tcBorders>
              <w:top w:val="single" w:color="000000" w:sz="4" w:space="0"/>
              <w:left w:val="nil"/>
              <w:bottom w:val="single" w:color="000000" w:sz="4" w:space="0"/>
              <w:right w:val="single" w:color="000000" w:sz="4" w:space="0"/>
            </w:tcBorders>
            <w:vAlign w:val="center"/>
          </w:tcPr>
          <w:p>
            <w:pPr>
              <w:widowControl/>
              <w:jc w:val="left"/>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rPr>
              <w:t>时间：</w:t>
            </w:r>
            <w:r>
              <w:rPr>
                <w:rFonts w:hint="default" w:ascii="Times New Roman" w:hAnsi="Times New Roman" w:cs="Times New Roman"/>
                <w:color w:val="000000"/>
                <w:kern w:val="0"/>
                <w:szCs w:val="21"/>
                <w:lang w:val="en-US" w:eastAsia="zh-CN"/>
              </w:rPr>
              <w:t>201</w:t>
            </w: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lang w:val="en-US" w:eastAsia="zh-CN"/>
              </w:rPr>
              <w:t>年1月</w:t>
            </w:r>
          </w:p>
          <w:p>
            <w:pPr>
              <w:widowControl/>
              <w:jc w:val="left"/>
              <w:rPr>
                <w:rFonts w:ascii="宋体" w:hAnsi="宋体" w:cs="Arial"/>
                <w:kern w:val="0"/>
                <w:szCs w:val="21"/>
              </w:rPr>
            </w:pPr>
            <w:r>
              <w:rPr>
                <w:rFonts w:hint="default" w:ascii="Times New Roman" w:hAnsi="Times New Roman" w:cs="Times New Roman"/>
                <w:color w:val="000000"/>
                <w:kern w:val="0"/>
                <w:szCs w:val="21"/>
              </w:rPr>
              <w:t>单位：</w:t>
            </w:r>
            <w:r>
              <w:rPr>
                <w:rFonts w:hint="default" w:ascii="Times New Roman" w:hAnsi="Times New Roman" w:cs="Times New Roman"/>
                <w:color w:val="000000"/>
                <w:kern w:val="0"/>
                <w:szCs w:val="21"/>
                <w:lang w:val="en-US" w:eastAsia="zh-CN"/>
              </w:rPr>
              <w:t>物电学院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rPr>
              <w:t xml:space="preserve">年 </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教师资格证、高压/低压电工特种作业证</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pPr>
              <w:widowControl/>
              <w:jc w:val="center"/>
              <w:rPr>
                <w:rFonts w:ascii="宋体" w:hAnsi="宋体" w:cs="Arial"/>
                <w:kern w:val="0"/>
                <w:szCs w:val="21"/>
              </w:rPr>
            </w:pPr>
            <w:r>
              <w:rPr>
                <w:rFonts w:hint="eastAsia" w:ascii="宋体" w:hAnsi="宋体" w:cs="Arial"/>
                <w:color w:val="000000"/>
                <w:kern w:val="0"/>
                <w:szCs w:val="21"/>
              </w:rPr>
              <w:t>专业名称</w:t>
            </w:r>
          </w:p>
        </w:tc>
        <w:tc>
          <w:tcPr>
            <w:tcW w:w="3426"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其他（自动化）</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国家六级</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申报专业</w:t>
            </w:r>
          </w:p>
        </w:tc>
        <w:tc>
          <w:tcPr>
            <w:tcW w:w="1630"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教授（双师型）</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2010</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~2017.7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机械学院/矿山机电工程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2003</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~2006.7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电控学院/电力电子与电力传动</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default" w:ascii="Times New Roman" w:hAnsi="Times New Roman" w:cs="Times New Roman"/>
                <w:color w:val="auto"/>
                <w:kern w:val="0"/>
                <w:szCs w:val="21"/>
                <w:lang w:val="en-US" w:eastAsia="zh-CN"/>
              </w:rPr>
              <w:t>1994.9</w:t>
            </w:r>
            <w:r>
              <w:rPr>
                <w:rFonts w:hint="eastAsia" w:ascii="Times New Roman" w:hAnsi="Times New Roman" w:cs="Times New Roman"/>
                <w:color w:val="auto"/>
                <w:kern w:val="0"/>
                <w:szCs w:val="21"/>
                <w:lang w:val="en-US" w:eastAsia="zh-CN"/>
              </w:rPr>
              <w:t>~1997.7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南昌工程学院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both"/>
              <w:rPr>
                <w:rFonts w:ascii="宋体" w:hAnsi="宋体" w:cs="Arial"/>
                <w:kern w:val="0"/>
                <w:szCs w:val="21"/>
              </w:rPr>
            </w:pPr>
            <w:r>
              <w:rPr>
                <w:rFonts w:hint="eastAsia" w:ascii="宋体" w:hAnsi="宋体" w:cs="Arial"/>
                <w:color w:val="auto"/>
                <w:kern w:val="0"/>
                <w:szCs w:val="21"/>
                <w:lang w:val="en-US" w:eastAsia="zh-CN"/>
              </w:rPr>
              <w:t>机电工程学院/供用电技术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赵志英</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1"/>
                <w:szCs w:val="21"/>
              </w:rPr>
            </w:pPr>
            <w:r>
              <w:rPr>
                <w:rFonts w:hint="eastAsia"/>
                <w:sz w:val="21"/>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1"/>
                <w:szCs w:val="21"/>
              </w:rPr>
            </w:pPr>
            <w:r>
              <w:rPr>
                <w:rFonts w:hint="eastAsia"/>
                <w:sz w:val="21"/>
                <w:szCs w:val="21"/>
              </w:rPr>
              <w:t>起  止  时  间</w:t>
            </w:r>
          </w:p>
        </w:tc>
        <w:tc>
          <w:tcPr>
            <w:tcW w:w="3265" w:type="dxa"/>
            <w:vAlign w:val="center"/>
          </w:tcPr>
          <w:p>
            <w:pPr>
              <w:jc w:val="center"/>
              <w:rPr>
                <w:sz w:val="21"/>
                <w:szCs w:val="21"/>
              </w:rPr>
            </w:pPr>
            <w:r>
              <w:rPr>
                <w:rFonts w:hint="eastAsia"/>
                <w:sz w:val="21"/>
                <w:szCs w:val="21"/>
              </w:rPr>
              <w:t>单      位</w:t>
            </w:r>
          </w:p>
        </w:tc>
        <w:tc>
          <w:tcPr>
            <w:tcW w:w="2410" w:type="dxa"/>
            <w:vAlign w:val="center"/>
          </w:tcPr>
          <w:p>
            <w:pPr>
              <w:jc w:val="center"/>
              <w:rPr>
                <w:sz w:val="21"/>
                <w:szCs w:val="21"/>
              </w:rPr>
            </w:pPr>
            <w:r>
              <w:rPr>
                <w:rFonts w:hint="eastAsia"/>
                <w:sz w:val="21"/>
                <w:szCs w:val="21"/>
              </w:rPr>
              <w:t>从 事 何 专 业</w:t>
            </w:r>
          </w:p>
          <w:p>
            <w:pPr>
              <w:jc w:val="center"/>
              <w:rPr>
                <w:sz w:val="21"/>
                <w:szCs w:val="21"/>
              </w:rPr>
            </w:pPr>
            <w:r>
              <w:rPr>
                <w:rFonts w:hint="eastAsia"/>
                <w:sz w:val="21"/>
                <w:szCs w:val="21"/>
              </w:rPr>
              <w:t>技  术  工  作</w:t>
            </w:r>
          </w:p>
        </w:tc>
        <w:tc>
          <w:tcPr>
            <w:tcW w:w="1701" w:type="dxa"/>
            <w:vAlign w:val="center"/>
          </w:tcPr>
          <w:p>
            <w:pPr>
              <w:jc w:val="center"/>
              <w:rPr>
                <w:sz w:val="21"/>
                <w:szCs w:val="21"/>
              </w:rPr>
            </w:pPr>
            <w:r>
              <w:rPr>
                <w:rFonts w:hint="eastAsia"/>
                <w:sz w:val="21"/>
                <w:szCs w:val="21"/>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both"/>
              <w:rPr>
                <w:sz w:val="21"/>
                <w:szCs w:val="21"/>
              </w:rPr>
            </w:pPr>
            <w:r>
              <w:rPr>
                <w:rFonts w:hint="default" w:ascii="Times New Roman" w:hAnsi="Times New Roman" w:cs="Times New Roman"/>
                <w:sz w:val="21"/>
                <w:szCs w:val="21"/>
                <w:lang w:val="en-US" w:eastAsia="zh-CN"/>
              </w:rPr>
              <w:t>1997</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2003</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月</w:t>
            </w:r>
          </w:p>
        </w:tc>
        <w:tc>
          <w:tcPr>
            <w:tcW w:w="3265"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中国水利水电第三工程局十分局</w:t>
            </w:r>
          </w:p>
        </w:tc>
        <w:tc>
          <w:tcPr>
            <w:tcW w:w="2410"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电气工程安装与施工</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both"/>
              <w:rPr>
                <w:sz w:val="21"/>
                <w:szCs w:val="21"/>
              </w:rPr>
            </w:pPr>
            <w:r>
              <w:rPr>
                <w:rFonts w:hint="default" w:ascii="Times New Roman" w:hAnsi="Times New Roman" w:cs="Times New Roman"/>
                <w:szCs w:val="21"/>
                <w:lang w:val="en-US" w:eastAsia="zh-CN"/>
              </w:rPr>
              <w:t>2006</w:t>
            </w:r>
            <w:r>
              <w:rPr>
                <w:rFonts w:hint="default" w:ascii="Times New Roman" w:hAnsi="Times New Roman" w:cs="Times New Roman"/>
                <w:szCs w:val="21"/>
              </w:rPr>
              <w:t>年</w:t>
            </w:r>
            <w:r>
              <w:rPr>
                <w:rFonts w:hint="default" w:ascii="Times New Roman" w:hAnsi="Times New Roman" w:cs="Times New Roman"/>
                <w:szCs w:val="21"/>
                <w:lang w:val="en-US" w:eastAsia="zh-CN"/>
              </w:rPr>
              <w:t>7</w:t>
            </w:r>
            <w:r>
              <w:rPr>
                <w:rFonts w:hint="default" w:ascii="Times New Roman" w:hAnsi="Times New Roman" w:cs="Times New Roman"/>
                <w:szCs w:val="21"/>
              </w:rPr>
              <w:t>月</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至今</w:t>
            </w:r>
          </w:p>
        </w:tc>
        <w:tc>
          <w:tcPr>
            <w:tcW w:w="326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海南师范大学</w:t>
            </w:r>
          </w:p>
        </w:tc>
        <w:tc>
          <w:tcPr>
            <w:tcW w:w="2410"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教学与科研</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副院长/副教授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ascii="宋体" w:hAnsi="宋体" w:cs="Arial"/>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default" w:ascii="Times New Roman" w:hAnsi="Times New Roman" w:cs="Times New Roman"/>
                <w:color w:val="C00000"/>
                <w:kern w:val="0"/>
                <w:szCs w:val="21"/>
                <w:lang w:val="en-US" w:eastAsia="zh-CN"/>
              </w:rPr>
              <w:t>2017年：合格；2018年：合格；2019年：合格；2020年：优秀；2021年：优秀</w:t>
            </w:r>
            <w:r>
              <w:rPr>
                <w:rFonts w:hint="eastAsia" w:ascii="Times New Roman" w:hAnsi="Times New Roman" w:cs="Times New Roman"/>
                <w:color w:val="C00000"/>
                <w:kern w:val="0"/>
                <w:szCs w:val="21"/>
                <w:lang w:val="en-US" w:eastAsia="zh-CN"/>
              </w:rPr>
              <w:t>；</w:t>
            </w:r>
            <w:r>
              <w:rPr>
                <w:rFonts w:hint="default" w:ascii="Times New Roman" w:hAnsi="Times New Roman" w:cs="Times New Roman"/>
                <w:color w:val="C00000"/>
                <w:kern w:val="0"/>
                <w:szCs w:val="21"/>
                <w:lang w:val="en-US" w:eastAsia="zh-CN"/>
              </w:rPr>
              <w:t>20</w:t>
            </w:r>
            <w:r>
              <w:rPr>
                <w:rFonts w:hint="eastAsia" w:ascii="Times New Roman" w:hAnsi="Times New Roman" w:cs="Times New Roman"/>
                <w:color w:val="C00000"/>
                <w:kern w:val="0"/>
                <w:szCs w:val="21"/>
                <w:lang w:val="en-US" w:eastAsia="zh-CN"/>
              </w:rPr>
              <w:t>22</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优秀</w:t>
            </w:r>
            <w:r>
              <w:rPr>
                <w:rFonts w:hint="default" w:ascii="Times New Roman" w:hAnsi="Times New Roman" w:cs="Times New Roman"/>
                <w:color w:val="C00000"/>
                <w:kern w:val="0"/>
                <w:szCs w:val="21"/>
                <w:lang w:val="en-US" w:eastAsia="zh-CN"/>
              </w:rPr>
              <w:t>；202</w:t>
            </w:r>
            <w:r>
              <w:rPr>
                <w:rFonts w:hint="eastAsia" w:ascii="Times New Roman" w:hAnsi="Times New Roman" w:cs="Times New Roman"/>
                <w:color w:val="C00000"/>
                <w:kern w:val="0"/>
                <w:szCs w:val="21"/>
                <w:lang w:val="en-US" w:eastAsia="zh-CN"/>
              </w:rPr>
              <w:t>3</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kern w:val="0"/>
                <w:szCs w:val="21"/>
                <w:lang w:val="en-US"/>
              </w:rPr>
            </w:pPr>
            <w:r>
              <w:rPr>
                <w:rFonts w:hint="default" w:ascii="Times New Roman" w:hAnsi="Times New Roman" w:cs="Times New Roman"/>
                <w:color w:val="000000"/>
                <w:kern w:val="0"/>
                <w:szCs w:val="21"/>
                <w:lang w:val="en-US" w:eastAsia="zh-CN"/>
              </w:rPr>
              <w:t>2019年：优秀；2020~2023年：合格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default" w:ascii="Times New Roman" w:hAnsi="Times New Roman" w:cs="Times New Roman"/>
                <w:color w:val="000000"/>
                <w:kern w:val="0"/>
                <w:szCs w:val="21"/>
                <w:lang w:val="en-US" w:eastAsia="zh-CN"/>
              </w:rPr>
              <w:t>2023年4月7日起至今一直担任物电学院副院长管理岗位工作</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2018.9</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lang w:val="en-US" w:eastAsia="zh-CN"/>
              </w:rPr>
              <w:t>-</w:t>
            </w:r>
            <w:r>
              <w:rPr>
                <w:rFonts w:hint="eastAsia" w:ascii="Times New Roman" w:hAnsi="Times New Roman" w:cs="Times New Roman"/>
                <w:color w:val="000000"/>
                <w:kern w:val="0"/>
                <w:szCs w:val="21"/>
                <w:lang w:val="en-US" w:eastAsia="zh-CN"/>
              </w:rPr>
              <w:t>- 2022.7，担任物电学院2018级自动化1、2班班主任</w:t>
            </w:r>
          </w:p>
        </w:tc>
      </w:tr>
    </w:tbl>
    <w:p/>
    <w:tbl>
      <w:tblPr>
        <w:tblStyle w:val="6"/>
        <w:tblW w:w="9782" w:type="dxa"/>
        <w:tblInd w:w="108" w:type="dxa"/>
        <w:tblLayout w:type="fixed"/>
        <w:tblCellMar>
          <w:top w:w="0" w:type="dxa"/>
          <w:left w:w="108" w:type="dxa"/>
          <w:bottom w:w="0" w:type="dxa"/>
          <w:right w:w="108" w:type="dxa"/>
        </w:tblCellMar>
      </w:tblPr>
      <w:tblGrid>
        <w:gridCol w:w="1560"/>
        <w:gridCol w:w="2472"/>
        <w:gridCol w:w="1922"/>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pPr>
              <w:spacing w:line="300" w:lineRule="exact"/>
              <w:jc w:val="center"/>
              <w:rPr>
                <w:rFonts w:hint="default" w:ascii="仿宋_GB2312" w:eastAsia="仿宋_GB2312"/>
                <w:b/>
                <w:szCs w:val="21"/>
                <w:lang w:val="en-US" w:eastAsia="zh-CN"/>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hint="default" w:ascii="Times New Roman" w:hAnsi="Times New Roman" w:eastAsia="仿宋_GB2312" w:cs="Times New Roman"/>
                <w:color w:val="auto"/>
                <w:szCs w:val="21"/>
              </w:rPr>
            </w:pPr>
            <w:r>
              <w:rPr>
                <w:rFonts w:hint="eastAsia" w:ascii="仿宋_GB2312" w:eastAsia="仿宋_GB2312"/>
                <w:color w:val="auto"/>
                <w:szCs w:val="21"/>
              </w:rPr>
              <w:fldChar w:fldCharType="begin"/>
            </w:r>
            <w:r>
              <w:rPr>
                <w:rFonts w:hint="eastAsia" w:ascii="仿宋_GB2312" w:eastAsia="仿宋_GB2312"/>
                <w:color w:val="auto"/>
                <w:szCs w:val="21"/>
              </w:rPr>
              <w:instrText xml:space="preserve"> = 1 \* GB3 </w:instrText>
            </w:r>
            <w:r>
              <w:rPr>
                <w:rFonts w:hint="eastAsia" w:ascii="仿宋_GB2312" w:eastAsia="仿宋_GB2312"/>
                <w:color w:val="auto"/>
                <w:szCs w:val="21"/>
              </w:rPr>
              <w:fldChar w:fldCharType="separate"/>
            </w:r>
            <w:r>
              <w:rPr>
                <w:rFonts w:hint="eastAsia" w:ascii="仿宋_GB2312" w:eastAsia="仿宋_GB2312"/>
                <w:color w:val="auto"/>
                <w:szCs w:val="21"/>
              </w:rPr>
              <w:t>①</w:t>
            </w:r>
            <w:r>
              <w:rPr>
                <w:rFonts w:hint="eastAsia" w:ascii="仿宋_GB2312" w:eastAsia="仿宋_GB2312"/>
                <w:color w:val="auto"/>
                <w:szCs w:val="21"/>
              </w:rPr>
              <w:fldChar w:fldCharType="end"/>
            </w:r>
            <w:r>
              <w:rPr>
                <w:rFonts w:hint="default" w:ascii="Times New Roman" w:hAnsi="Times New Roman" w:eastAsia="仿宋_GB2312" w:cs="Times New Roman"/>
                <w:color w:val="auto"/>
                <w:szCs w:val="21"/>
              </w:rPr>
              <w:t>任现职</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lang w:val="en-US" w:eastAsia="zh-CN"/>
              </w:rPr>
              <w:t>近5年</w:t>
            </w:r>
            <w:r>
              <w:rPr>
                <w:rFonts w:hint="eastAsia"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1"/>
              </w:rPr>
              <w:t>以来，承担课堂教学工作量共计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2421</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484.2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学时，其中本科生课堂教学工作量共计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1215</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243</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学时，其中实践类共计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1206</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241.2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w:t>
            </w:r>
          </w:p>
          <w:p>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2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②</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任现职以来教学评估达到“合格”以上占</w:t>
            </w:r>
            <w:r>
              <w:rPr>
                <w:rFonts w:hint="default" w:ascii="Times New Roman" w:hAnsi="Times New Roman" w:eastAsia="仿宋_GB2312" w:cs="Times New Roman"/>
                <w:color w:val="auto"/>
                <w:kern w:val="0"/>
                <w:szCs w:val="21"/>
                <w:u w:val="single"/>
              </w:rPr>
              <w:t xml:space="preserve">  </w:t>
            </w:r>
            <w:r>
              <w:rPr>
                <w:rFonts w:hint="default" w:ascii="Times New Roman" w:hAnsi="Times New Roman" w:eastAsia="仿宋_GB2312" w:cs="Times New Roman"/>
                <w:color w:val="auto"/>
                <w:kern w:val="0"/>
                <w:szCs w:val="21"/>
                <w:u w:val="single"/>
                <w:lang w:val="en-US" w:eastAsia="zh-CN"/>
              </w:rPr>
              <w:t>100</w:t>
            </w:r>
            <w:r>
              <w:rPr>
                <w:rFonts w:hint="default" w:ascii="Times New Roman" w:hAnsi="Times New Roman" w:eastAsia="仿宋_GB2312" w:cs="Times New Roman"/>
                <w:color w:val="auto"/>
                <w:kern w:val="0"/>
                <w:szCs w:val="21"/>
                <w:u w:val="single"/>
              </w:rPr>
              <w:t xml:space="preserve">   % </w:t>
            </w:r>
            <w:r>
              <w:rPr>
                <w:rFonts w:hint="default" w:ascii="Times New Roman" w:hAnsi="Times New Roman" w:eastAsia="仿宋_GB2312" w:cs="Times New Roman"/>
                <w:color w:val="auto"/>
                <w:szCs w:val="21"/>
              </w:rPr>
              <w:t>。</w:t>
            </w:r>
          </w:p>
          <w:p>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3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③</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szCs w:val="21"/>
              </w:rPr>
              <w:t>本次晋升专业技术资格的课程评估成绩为</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u w:val="single"/>
                <w:lang w:val="en-US" w:eastAsia="zh-CN"/>
              </w:rPr>
              <w:t>A</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等级。</w:t>
            </w:r>
          </w:p>
          <w:p>
            <w:pPr>
              <w:spacing w:line="300" w:lineRule="exact"/>
              <w:jc w:val="left"/>
              <w:rPr>
                <w:rFonts w:ascii="仿宋_GB2312" w:hAnsi="宋体" w:eastAsia="仿宋_GB2312" w:cs="Arial"/>
                <w:color w:val="000000"/>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4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④</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 xml:space="preserve">担任毕业实习和论文指导工作（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）届；或担任本科生创新创业活动（ </w:t>
            </w:r>
            <w:r>
              <w:rPr>
                <w:rFonts w:hint="default" w:ascii="Times New Roman" w:hAnsi="Times New Roman" w:eastAsia="仿宋_GB2312" w:cs="Times New Roman"/>
                <w:color w:val="auto"/>
                <w:kern w:val="0"/>
                <w:szCs w:val="21"/>
                <w:lang w:val="en-US" w:eastAsia="zh-CN"/>
              </w:rPr>
              <w:t>2</w:t>
            </w:r>
            <w:r>
              <w:rPr>
                <w:rFonts w:hint="default" w:ascii="Times New Roman" w:hAnsi="Times New Roman" w:eastAsia="仿宋_GB2312" w:cs="Times New Roman"/>
                <w:color w:val="auto"/>
                <w:kern w:val="0"/>
                <w:szCs w:val="21"/>
              </w:rPr>
              <w:t xml:space="preserve">  ）项；或担任本科生专业竞赛指导（ </w:t>
            </w:r>
            <w:r>
              <w:rPr>
                <w:rFonts w:hint="eastAsia" w:ascii="Times New Roman" w:hAnsi="Times New Roman" w:eastAsia="仿宋_GB2312" w:cs="Times New Roman"/>
                <w:color w:val="auto"/>
                <w:kern w:val="0"/>
                <w:szCs w:val="21"/>
                <w:lang w:val="en-US" w:eastAsia="zh-CN"/>
              </w:rPr>
              <w:t>35</w:t>
            </w:r>
            <w:r>
              <w:rPr>
                <w:rFonts w:hint="default" w:ascii="Times New Roman" w:hAnsi="Times New Roman" w:eastAsia="仿宋_GB2312" w:cs="Times New Roman"/>
                <w:color w:val="auto"/>
                <w:kern w:val="0"/>
                <w:szCs w:val="21"/>
              </w:rPr>
              <w:t xml:space="preserve">  ）项；或担任本科生开展寒暑假社会实践（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任现职以来课程教学工作量业绩表（本科生）</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auto"/>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color w:val="auto"/>
                <w:szCs w:val="21"/>
                <w:lang w:val="en-US"/>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模拟电子技术基础</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Protel(EDA</w:t>
            </w:r>
            <w:r>
              <w:rPr>
                <w:rFonts w:hint="eastAsia" w:ascii="宋体" w:hAnsi="宋体" w:eastAsia="宋体" w:cs="宋体"/>
                <w:i w:val="0"/>
                <w:iCs w:val="0"/>
                <w:color w:val="auto"/>
                <w:kern w:val="0"/>
                <w:sz w:val="21"/>
                <w:szCs w:val="21"/>
                <w:u w:val="none"/>
                <w:lang w:val="en-US" w:eastAsia="zh-CN" w:bidi="ar"/>
              </w:rPr>
              <w:t>技术</w:t>
            </w:r>
            <w:r>
              <w:rPr>
                <w:rStyle w:val="14"/>
                <w:rFonts w:eastAsia="宋体"/>
                <w:color w:val="auto"/>
                <w:lang w:val="en-US" w:eastAsia="zh-CN" w:bidi="ar"/>
              </w:rPr>
              <w:t>)</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22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39</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rPr>
            </w:pPr>
            <w:r>
              <w:rPr>
                <w:rFonts w:hint="default" w:ascii="Times New Roman" w:hAnsi="Times New Roman" w:eastAsia="宋体" w:cs="Times New Roman"/>
                <w:color w:val="auto"/>
                <w:szCs w:val="21"/>
                <w:lang w:val="en-US" w:eastAsia="zh-CN"/>
              </w:rPr>
              <w:t>2018</w:t>
            </w:r>
            <w:r>
              <w:rPr>
                <w:rFonts w:hint="eastAsia" w:ascii="Times New Roman" w:hAnsi="Times New Roman" w:eastAsia="宋体" w:cs="Times New Roman"/>
                <w:color w:val="auto"/>
                <w:szCs w:val="21"/>
                <w:lang w:val="en-US" w:eastAsia="zh-CN"/>
              </w:rPr>
              <w:t>信息电子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1</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2</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21</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模拟电子技术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both"/>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 w:val="19"/>
                <w:szCs w:val="19"/>
                <w:lang w:val="en-US" w:eastAsia="zh-CN"/>
              </w:rPr>
              <w:t>2021电子信息1/2班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2022数物信12班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22</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1215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任现职以来实践类教学工作量业绩表</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Protel(EDA</w:t>
            </w:r>
            <w:r>
              <w:rPr>
                <w:rFonts w:hint="eastAsia" w:ascii="宋体" w:hAnsi="宋体" w:eastAsia="宋体" w:cs="宋体"/>
                <w:i w:val="0"/>
                <w:iCs w:val="0"/>
                <w:color w:val="000000"/>
                <w:kern w:val="0"/>
                <w:sz w:val="21"/>
                <w:szCs w:val="21"/>
                <w:u w:val="none"/>
                <w:lang w:val="en-US" w:eastAsia="zh-CN" w:bidi="ar"/>
              </w:rPr>
              <w:t>技术</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数字电子技术实验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9</w:t>
            </w:r>
            <w:r>
              <w:rPr>
                <w:rFonts w:hint="default" w:ascii="Times New Roman" w:hAnsi="Times New Roman" w:eastAsia="宋体" w:cs="Times New Roman"/>
                <w:color w:val="auto"/>
                <w:szCs w:val="21"/>
                <w:highlight w:val="none"/>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highlight w:val="none"/>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8</w:t>
            </w:r>
            <w:r>
              <w:rPr>
                <w:rFonts w:hint="default" w:ascii="Times New Roman" w:hAnsi="Times New Roman" w:eastAsia="宋体" w:cs="Times New Roman"/>
                <w:color w:val="auto"/>
                <w:szCs w:val="21"/>
                <w:highlight w:val="none"/>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highlight w:val="none"/>
              </w:rPr>
            </w:pPr>
            <w:r>
              <w:rPr>
                <w:rFonts w:hint="default" w:ascii="Times New Roman" w:hAnsi="Times New Roman" w:eastAsia="宋体" w:cs="Times New Roman"/>
                <w:i w:val="0"/>
                <w:iCs w:val="0"/>
                <w:color w:val="000000"/>
                <w:kern w:val="0"/>
                <w:sz w:val="21"/>
                <w:szCs w:val="21"/>
                <w:highlight w:val="none"/>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highlight w:val="none"/>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eastAsia" w:ascii="Times New Roman" w:hAnsi="Times New Roman" w:eastAsia="宋体" w:cs="Times New Roman"/>
                <w:i w:val="0"/>
                <w:iCs w:val="0"/>
                <w:color w:val="000000"/>
                <w:kern w:val="0"/>
                <w:sz w:val="21"/>
                <w:szCs w:val="21"/>
                <w:highlight w:val="none"/>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仿宋_GB2312" w:cs="Times New Roman"/>
                <w:color w:val="auto"/>
                <w:szCs w:val="21"/>
                <w:lang w:val="en-US" w:eastAsia="zh-CN"/>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可编程控制器实验</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工业自动化综合实践</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top"/>
              <w:rPr>
                <w:rFonts w:hint="eastAsia" w:ascii="仿宋_GB2312" w:eastAsia="仿宋_GB2312" w:hAnsiTheme="minorHAnsi" w:cstheme="minorBidi"/>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宋体" w:cs="Times New Roman"/>
                <w:i w:val="0"/>
                <w:iCs w:val="0"/>
                <w:color w:val="auto"/>
                <w:kern w:val="0"/>
                <w:sz w:val="21"/>
                <w:szCs w:val="21"/>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eastAsia" w:ascii="黑体" w:hAnsi="黑体" w:eastAsia="黑体" w:cs="黑体"/>
                <w:b/>
                <w:bCs/>
                <w:color w:val="auto"/>
                <w:szCs w:val="21"/>
              </w:rPr>
              <w:t>小</w:t>
            </w:r>
            <w:r>
              <w:rPr>
                <w:rFonts w:hint="eastAsia" w:ascii="黑体" w:hAnsi="黑体" w:eastAsia="黑体" w:cs="黑体"/>
                <w:b/>
                <w:bCs/>
                <w:color w:val="auto"/>
                <w:szCs w:val="21"/>
                <w:lang w:val="en-US" w:eastAsia="zh-CN"/>
              </w:rPr>
              <w:t xml:space="preserve"> </w:t>
            </w:r>
            <w:r>
              <w:rPr>
                <w:rFonts w:hint="eastAsia" w:ascii="黑体" w:hAnsi="黑体" w:eastAsia="黑体" w:cs="黑体"/>
                <w:b/>
                <w:bCs/>
                <w:color w:val="auto"/>
                <w:szCs w:val="21"/>
              </w:rPr>
              <w:t>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仿宋_GB2312" w:cs="Times New Roman"/>
                <w:color w:val="auto"/>
                <w:szCs w:val="21"/>
                <w:lang w:val="en-US" w:eastAsia="zh-CN"/>
              </w:rPr>
              <w:t>1206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r>
              <w:rPr>
                <w:rFonts w:hint="eastAsia" w:ascii="仿宋_GB2312" w:eastAsia="仿宋_GB2312"/>
                <w:color w:val="auto"/>
                <w:szCs w:val="21"/>
              </w:rPr>
              <w:t>指导学生实习、论文、实践情况</w:t>
            </w:r>
          </w:p>
        </w:tc>
      </w:tr>
      <w:tr>
        <w:tblPrEx>
          <w:tblCellMar>
            <w:top w:w="0" w:type="dxa"/>
            <w:left w:w="108" w:type="dxa"/>
            <w:bottom w:w="0" w:type="dxa"/>
            <w:right w:w="108" w:type="dxa"/>
          </w:tblCellMar>
        </w:tblPrEx>
        <w:trPr>
          <w:trHeight w:val="1352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一、指导毕业实习情况</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宋体" w:hAnsi="宋体"/>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1）2019.3.1~2019.4.15，指导2015级自动化学生余德洋、张靖奇、钟杰任、徐燕子、林彦霞、冼世俊、孙彩云、王新娜等同学毕业实习，实习内容为西门子比赛过程控制和流程控制赛前培训；</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10" w:firstLineChars="10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2020.3.1~2020.4.15，指导2016级自动化学生黎家伟、张静靖、吉云泽、张浩东、林书奋、尹向阳毕业实习，实习内容为西门子比赛赛前线上培训；其中黎家伟</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  3）2021.3.1~2021.4.15，指导2017级自动化学生李卫校、鞠振宇、张营、</w:t>
            </w:r>
            <w:r>
              <w:rPr>
                <w:rFonts w:hint="eastAsia" w:ascii="Times New Roman" w:hAnsi="Times New Roman" w:eastAsia="宋体" w:cs="Times New Roman"/>
                <w:sz w:val="21"/>
                <w:szCs w:val="21"/>
                <w:lang w:val="en-US" w:eastAsia="zh-CN"/>
              </w:rPr>
              <w:t>何禹、刘海蓉、毛科、游志超、游子豪、周钰、范哲语、程柏森、舒顺康、赵晴、赵玉、原博迪等十五同学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Times New Roman" w:hAnsi="Times New Roman" w:eastAsia="宋体" w:cs="Times New Roman"/>
                <w:sz w:val="21"/>
                <w:szCs w:val="21"/>
                <w:lang w:val="en-US" w:eastAsia="zh-CN"/>
              </w:rPr>
              <w:t>原博迪同学被评为当年优秀实习生。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4）2022.3.1~2022.4.15，指导2018级自动化学生</w:t>
            </w:r>
            <w:r>
              <w:rPr>
                <w:rFonts w:hint="eastAsia" w:ascii="宋体" w:hAnsi="宋体" w:eastAsia="宋体" w:cs="宋体"/>
                <w:i w:val="0"/>
                <w:iCs w:val="0"/>
                <w:color w:val="000000"/>
                <w:kern w:val="0"/>
                <w:sz w:val="21"/>
                <w:szCs w:val="21"/>
                <w:u w:val="none"/>
                <w:lang w:val="en-US" w:eastAsia="zh-CN" w:bidi="ar"/>
              </w:rPr>
              <w:t>俎子龙</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朱宇宏</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周朝壮</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季豪</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宋明昊</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张殷奇</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刘宸</w:t>
            </w:r>
            <w:r>
              <w:rPr>
                <w:rFonts w:hint="eastAsia" w:ascii="Times New Roman" w:hAnsi="Times New Roman" w:eastAsia="宋体" w:cs="Times New Roman"/>
                <w:sz w:val="21"/>
                <w:szCs w:val="21"/>
                <w:lang w:val="en-US" w:eastAsia="zh-CN"/>
              </w:rPr>
              <w:t>、毛亮钦等十同学</w:t>
            </w:r>
            <w:r>
              <w:rPr>
                <w:rFonts w:hint="eastAsia" w:ascii="Times New Roman" w:hAnsi="Times New Roman" w:cs="Times New Roman"/>
                <w:sz w:val="21"/>
                <w:szCs w:val="21"/>
                <w:lang w:val="en-US" w:eastAsia="zh-CN"/>
              </w:rPr>
              <w:t>毕业实习，实习内容为西门子比赛赛前培训、程序优化以及空间信息处理；</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5）2022.11.1~2023.1.15，指导2019级自动化学生</w:t>
            </w:r>
            <w:r>
              <w:rPr>
                <w:rFonts w:hint="eastAsia" w:ascii="宋体" w:hAnsi="宋体" w:eastAsia="宋体" w:cs="宋体"/>
                <w:i w:val="0"/>
                <w:iCs w:val="0"/>
                <w:color w:val="000000"/>
                <w:kern w:val="0"/>
                <w:sz w:val="21"/>
                <w:szCs w:val="21"/>
                <w:u w:val="none"/>
                <w:lang w:val="en-US" w:eastAsia="zh-CN" w:bidi="ar"/>
              </w:rPr>
              <w:t>王鹏焱</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周嘉兴</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郭星</w:t>
            </w:r>
            <w:r>
              <w:rPr>
                <w:rFonts w:hint="eastAsia" w:ascii="Times New Roman" w:hAnsi="Times New Roman" w:eastAsia="宋体" w:cs="Times New Roman"/>
                <w:sz w:val="21"/>
                <w:szCs w:val="21"/>
                <w:lang w:val="en-US" w:eastAsia="zh-CN"/>
              </w:rPr>
              <w:t>等八同学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6）2023.11.1~2024.1.15，指导2020级自动化学生</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刘超</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蒋忠洪</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刘铭、吴顺飞、廖科任</w:t>
            </w:r>
            <w:r>
              <w:rPr>
                <w:rFonts w:hint="eastAsia" w:ascii="Times New Roman" w:hAnsi="Times New Roman" w:eastAsia="宋体" w:cs="Times New Roman"/>
                <w:sz w:val="21"/>
                <w:szCs w:val="21"/>
                <w:lang w:val="en-US" w:eastAsia="zh-CN"/>
              </w:rPr>
              <w:t>等十同学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指导毕业论文情况</w:t>
            </w:r>
          </w:p>
          <w:tbl>
            <w:tblPr>
              <w:tblStyle w:val="7"/>
              <w:tblW w:w="8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944"/>
              <w:gridCol w:w="960"/>
              <w:gridCol w:w="5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eastAsia" w:ascii="Times New Roman" w:hAnsi="Times New Roman" w:cs="Times New Roman"/>
                      <w:b/>
                      <w:bCs/>
                      <w:sz w:val="24"/>
                      <w:vertAlign w:val="baseline"/>
                      <w:lang w:val="en-US" w:eastAsia="zh-CN"/>
                    </w:rPr>
                    <w:t>序号</w:t>
                  </w:r>
                </w:p>
              </w:tc>
              <w:tc>
                <w:tcPr>
                  <w:tcW w:w="194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0" w:firstLineChars="0"/>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年级/班级</w:t>
                  </w:r>
                </w:p>
              </w:tc>
              <w:tc>
                <w:tcPr>
                  <w:tcW w:w="96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姓名</w:t>
                  </w:r>
                </w:p>
              </w:tc>
              <w:tc>
                <w:tcPr>
                  <w:tcW w:w="5135"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论文题目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肖明珂</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基于单片机的四层电梯控制器设计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赵贤丰</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朱鹏飞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赵也践</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简易数字电压表设计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曹代月</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闫文化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黎又瑚</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季祥</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程乙轮</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孙悦</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无线遥控风扇控制器设计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赵凡琪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刘金生</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张惠棋</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郜静宇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基于UC3842的Buck开关变换器设计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胡甜甜</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户外独立光伏发电系统设计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孙晓琦</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单片机控制Boost变换器设计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田梦岩</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本安型Buck变换器设计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邢冠男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基于单片机的六层电梯控制系统设计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曾小松</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太阳能发电系统蓄电池管理电路设计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江翔宇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光伏系统发电效率的优化设计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刘薇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基于AT89C52的双部四层电梯控制系统设计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杨纯</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基于单片机的电容在线检测系统设计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张皓哲</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基于单片机的太阳能照明系统设计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韩玉典</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基于单片机的通风装置设计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王新娜</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林彦霞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孙彩云</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单片机控制智能水位监控系统设计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冼世俊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小功率直流快速充电电源设计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徐燕子</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小功率无线充电器设计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张靖奇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基于PLC三部六层电梯控制系统设计及仿真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钟杰任</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红外感应自动风扇设计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吉云泽</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精密可调数字开关电源的设计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林书奋</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多部多层电梯群控策略仿真分析及组态设计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邢增标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基本放大电路参量测试仪的设计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晏玉娇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基于单片机的智能语音电灯系统设计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尹向阳</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控制的花式喷泉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张静靖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基于单片机的纸张测量仪设计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Times New Roman" w:hAnsi="Times New Roman" w:eastAsia="宋体" w:cs="Times New Roman"/>
                      <w:i w:val="0"/>
                      <w:iCs w:val="0"/>
                      <w:color w:val="000000"/>
                      <w:kern w:val="0"/>
                      <w:sz w:val="21"/>
                      <w:szCs w:val="21"/>
                      <w:u w:val="none"/>
                      <w:lang w:val="en-US" w:eastAsia="zh-CN" w:bidi="ar"/>
                    </w:rPr>
                    <w:t>级</w:t>
                  </w:r>
                  <w:r>
                    <w:rPr>
                      <w:rStyle w:val="17"/>
                      <w:sz w:val="21"/>
                      <w:szCs w:val="21"/>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Style w:val="17"/>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付婉婷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的工业锅炉控制策略及其仿真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游子豪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基于西门子PLC的单部六层电梯系统设计及仿真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徐天昊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自动车库PLC控制系统及其组态设计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白露瑶</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基于单片机的液体点滴速度监控系统设计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李卫校</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基于PLC的三部十层电梯控制算法设计及其仿真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w:t>
                  </w:r>
                  <w:r>
                    <w:rPr>
                      <w:rFonts w:hint="eastAsia" w:ascii="Times New Roman" w:hAnsi="Times New Roman" w:eastAsia="宋体" w:cs="Times New Roman"/>
                      <w:i w:val="0"/>
                      <w:iCs w:val="0"/>
                      <w:color w:val="000000"/>
                      <w:kern w:val="0"/>
                      <w:sz w:val="21"/>
                      <w:szCs w:val="21"/>
                      <w:u w:val="none"/>
                      <w:lang w:val="en-US" w:eastAsia="zh-CN" w:bidi="ar"/>
                    </w:rPr>
                    <w:t>本</w:t>
                  </w:r>
                  <w:r>
                    <w:rPr>
                      <w:rFonts w:hint="default" w:ascii="Times New Roman" w:hAnsi="Times New Roman" w:eastAsia="宋体" w:cs="Times New Roman"/>
                      <w:i w:val="0"/>
                      <w:iCs w:val="0"/>
                      <w:color w:val="000000"/>
                      <w:kern w:val="0"/>
                      <w:sz w:val="21"/>
                      <w:szCs w:val="21"/>
                      <w:u w:val="none"/>
                      <w:lang w:val="en-US" w:eastAsia="zh-CN" w:bidi="ar"/>
                    </w:rPr>
                    <w:t>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樊林鑫</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基于单片机的LCR测试仪设计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俎子龙</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基于单片机控制的</w:t>
                  </w:r>
                  <w:r>
                    <w:rPr>
                      <w:rStyle w:val="20"/>
                      <w:rFonts w:eastAsia="宋体"/>
                      <w:lang w:val="en-US" w:eastAsia="zh-CN" w:bidi="ar"/>
                    </w:rPr>
                    <w:t>RC</w:t>
                  </w:r>
                  <w:r>
                    <w:rPr>
                      <w:rFonts w:hint="eastAsia" w:ascii="宋体" w:hAnsi="宋体" w:eastAsia="宋体" w:cs="宋体"/>
                      <w:i w:val="0"/>
                      <w:iCs w:val="0"/>
                      <w:color w:val="000000"/>
                      <w:kern w:val="0"/>
                      <w:sz w:val="21"/>
                      <w:szCs w:val="21"/>
                      <w:u w:val="none"/>
                      <w:lang w:val="en-US" w:eastAsia="zh-CN" w:bidi="ar"/>
                    </w:rPr>
                    <w:t>测试仪设计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朱宇宏</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基于西门子</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周朝壮</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三部十层电梯的群控策略及其优化设计与仿真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段传恺</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简易搬运机器人控制系统设计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季豪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UC3842</w:t>
                  </w:r>
                  <w:r>
                    <w:rPr>
                      <w:rFonts w:hint="eastAsia" w:ascii="宋体" w:hAnsi="宋体" w:eastAsia="宋体" w:cs="宋体"/>
                      <w:i w:val="0"/>
                      <w:iCs w:val="0"/>
                      <w:color w:val="000000"/>
                      <w:kern w:val="0"/>
                      <w:sz w:val="21"/>
                      <w:szCs w:val="21"/>
                      <w:u w:val="none"/>
                      <w:lang w:val="en-US" w:eastAsia="zh-CN" w:bidi="ar"/>
                    </w:rPr>
                    <w:t>的智能充电器设计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陈佳颖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单片机控制</w:t>
                  </w:r>
                  <w:r>
                    <w:rPr>
                      <w:rStyle w:val="20"/>
                      <w:rFonts w:eastAsia="宋体"/>
                      <w:lang w:val="en-US" w:eastAsia="zh-CN" w:bidi="ar"/>
                    </w:rPr>
                    <w:t>Buck</w:t>
                  </w:r>
                  <w:r>
                    <w:rPr>
                      <w:rFonts w:hint="eastAsia" w:ascii="宋体" w:hAnsi="宋体" w:eastAsia="宋体" w:cs="宋体"/>
                      <w:i w:val="0"/>
                      <w:iCs w:val="0"/>
                      <w:color w:val="000000"/>
                      <w:kern w:val="0"/>
                      <w:sz w:val="21"/>
                      <w:szCs w:val="21"/>
                      <w:u w:val="none"/>
                      <w:lang w:val="en-US" w:eastAsia="zh-CN" w:bidi="ar"/>
                    </w:rPr>
                    <w:t>型</w:t>
                  </w:r>
                  <w:r>
                    <w:rPr>
                      <w:rStyle w:val="20"/>
                      <w:rFonts w:eastAsia="宋体"/>
                      <w:lang w:val="en-US" w:eastAsia="zh-CN" w:bidi="ar"/>
                    </w:rPr>
                    <w:t>DC-DC</w:t>
                  </w:r>
                  <w:r>
                    <w:rPr>
                      <w:rFonts w:hint="eastAsia" w:ascii="宋体" w:hAnsi="宋体" w:eastAsia="宋体" w:cs="宋体"/>
                      <w:i w:val="0"/>
                      <w:iCs w:val="0"/>
                      <w:color w:val="000000"/>
                      <w:kern w:val="0"/>
                      <w:sz w:val="21"/>
                      <w:szCs w:val="21"/>
                      <w:u w:val="none"/>
                      <w:lang w:val="en-US" w:eastAsia="zh-CN" w:bidi="ar"/>
                    </w:rPr>
                    <w:t>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宋明昊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PCS7</w:t>
                  </w:r>
                  <w:r>
                    <w:rPr>
                      <w:rFonts w:hint="eastAsia" w:ascii="宋体" w:hAnsi="宋体" w:eastAsia="宋体" w:cs="宋体"/>
                      <w:i w:val="0"/>
                      <w:iCs w:val="0"/>
                      <w:color w:val="000000"/>
                      <w:kern w:val="0"/>
                      <w:sz w:val="21"/>
                      <w:szCs w:val="21"/>
                      <w:u w:val="none"/>
                      <w:lang w:val="en-US" w:eastAsia="zh-CN" w:bidi="ar"/>
                    </w:rPr>
                    <w:t>的工业锅炉控制策略及其仿真研究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张殷奇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多部多层电梯的神经网络算法设计及其仿真研究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刘宸</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的水箱液位自动控制系统设计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高云飞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UC3842</w:t>
                  </w:r>
                  <w:r>
                    <w:rPr>
                      <w:rFonts w:hint="eastAsia" w:ascii="宋体" w:hAnsi="宋体" w:eastAsia="宋体" w:cs="宋体"/>
                      <w:i w:val="0"/>
                      <w:iCs w:val="0"/>
                      <w:color w:val="000000"/>
                      <w:kern w:val="0"/>
                      <w:sz w:val="21"/>
                      <w:szCs w:val="21"/>
                      <w:u w:val="none"/>
                      <w:lang w:val="en-US" w:eastAsia="zh-CN" w:bidi="ar"/>
                    </w:rPr>
                    <w:t>的单端反激开关变换器设计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王鹏焱</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的智能车库控制系统设计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朱锦鹏</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89C52</w:t>
                  </w:r>
                  <w:r>
                    <w:rPr>
                      <w:rFonts w:hint="eastAsia" w:ascii="宋体" w:hAnsi="宋体" w:eastAsia="宋体" w:cs="宋体"/>
                      <w:i w:val="0"/>
                      <w:iCs w:val="0"/>
                      <w:color w:val="000000"/>
                      <w:kern w:val="0"/>
                      <w:sz w:val="21"/>
                      <w:szCs w:val="21"/>
                      <w:u w:val="none"/>
                      <w:lang w:val="en-US" w:eastAsia="zh-CN" w:bidi="ar"/>
                    </w:rPr>
                    <w:t>的</w:t>
                  </w:r>
                  <w:r>
                    <w:rPr>
                      <w:rFonts w:hint="default" w:ascii="Times New Roman" w:hAnsi="Times New Roman" w:eastAsia="宋体" w:cs="Times New Roman"/>
                      <w:i w:val="0"/>
                      <w:iCs w:val="0"/>
                      <w:color w:val="000000"/>
                      <w:kern w:val="0"/>
                      <w:sz w:val="21"/>
                      <w:szCs w:val="21"/>
                      <w:u w:val="none"/>
                      <w:lang w:val="en-US" w:eastAsia="zh-CN" w:bidi="ar"/>
                    </w:rPr>
                    <w:t>Boost</w:t>
                  </w:r>
                  <w:r>
                    <w:rPr>
                      <w:rFonts w:hint="eastAsia" w:ascii="宋体" w:hAnsi="宋体" w:eastAsia="宋体" w:cs="宋体"/>
                      <w:i w:val="0"/>
                      <w:iCs w:val="0"/>
                      <w:color w:val="000000"/>
                      <w:kern w:val="0"/>
                      <w:sz w:val="21"/>
                      <w:szCs w:val="21"/>
                      <w:u w:val="none"/>
                      <w:lang w:val="en-US" w:eastAsia="zh-CN" w:bidi="ar"/>
                    </w:rPr>
                    <w:t>升压电路设计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周嘉兴</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w:t>
                  </w:r>
                  <w:r>
                    <w:rPr>
                      <w:rFonts w:hint="default" w:ascii="Times New Roman" w:hAnsi="Times New Roman" w:eastAsia="宋体" w:cs="Times New Roman"/>
                      <w:i w:val="0"/>
                      <w:iCs w:val="0"/>
                      <w:color w:val="000000"/>
                      <w:kern w:val="0"/>
                      <w:sz w:val="21"/>
                      <w:szCs w:val="21"/>
                      <w:u w:val="none"/>
                      <w:lang w:val="en-US" w:eastAsia="zh-CN" w:bidi="ar"/>
                    </w:rPr>
                    <w:t>LC</w:t>
                  </w:r>
                  <w:r>
                    <w:rPr>
                      <w:rFonts w:hint="eastAsia" w:ascii="宋体" w:hAnsi="宋体" w:eastAsia="宋体" w:cs="宋体"/>
                      <w:i w:val="0"/>
                      <w:iCs w:val="0"/>
                      <w:color w:val="000000"/>
                      <w:kern w:val="0"/>
                      <w:sz w:val="21"/>
                      <w:szCs w:val="21"/>
                      <w:u w:val="none"/>
                      <w:lang w:val="en-US" w:eastAsia="zh-CN" w:bidi="ar"/>
                    </w:rPr>
                    <w:t>检测装置设计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郭星</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的水箱液位控制系统设计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孙昌海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GPS</w:t>
                  </w:r>
                  <w:r>
                    <w:rPr>
                      <w:rFonts w:hint="eastAsia" w:ascii="宋体" w:hAnsi="宋体" w:eastAsia="宋体" w:cs="宋体"/>
                      <w:i w:val="0"/>
                      <w:iCs w:val="0"/>
                      <w:color w:val="000000"/>
                      <w:kern w:val="0"/>
                      <w:sz w:val="21"/>
                      <w:szCs w:val="21"/>
                      <w:u w:val="none"/>
                      <w:lang w:val="en-US" w:eastAsia="zh-CN" w:bidi="ar"/>
                    </w:rPr>
                    <w:t>无线定位的非道路车辆控制系统设计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刘超</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基于单片机的节能控温系统的设计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宋江南</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的六部十层电梯控制系统设计及其仿真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蒋忠洪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的工业锅炉过程控制程序设计及其仿真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李嘉汉</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体感机械臂无线控制系统设计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廖康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多部多层电梯的群控策略及其仿真研究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常恺</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马燕琴</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教室照明节能控制系统设计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刘铭</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基于单片机的风扇无线遥控系统设计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吴顺飞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的立体车库模型控制系统设计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张旭</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基于单片机的智能家居语音识别系统设计</w:t>
                  </w:r>
                </w:p>
              </w:tc>
            </w:tr>
          </w:tbl>
          <w:p>
            <w:pPr>
              <w:spacing w:line="240" w:lineRule="exact"/>
              <w:rPr>
                <w:rFonts w:ascii="仿宋_GB2312" w:eastAsia="仿宋_GB2312"/>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10" w:firstLineChars="100"/>
              <w:jc w:val="left"/>
              <w:textAlignment w:val="auto"/>
              <w:rPr>
                <w:rFonts w:hint="eastAsia" w:ascii="宋体" w:hAnsi="宋体"/>
                <w:b/>
                <w:bCs/>
                <w:sz w:val="24"/>
                <w:lang w:val="en-US" w:eastAsia="zh-CN"/>
              </w:rPr>
            </w:pPr>
            <w:r>
              <w:rPr>
                <w:rFonts w:hint="eastAsia" w:ascii="仿宋_GB2312" w:eastAsia="仿宋_GB2312"/>
                <w:szCs w:val="21"/>
                <w:lang w:val="en-US" w:eastAsia="zh-CN"/>
              </w:rPr>
              <w:t xml:space="preserve"> </w:t>
            </w:r>
            <w:r>
              <w:rPr>
                <w:rFonts w:hint="eastAsia" w:ascii="宋体" w:hAnsi="宋体"/>
                <w:b/>
                <w:bCs/>
                <w:sz w:val="24"/>
                <w:lang w:val="en-US" w:eastAsia="zh-CN"/>
              </w:rPr>
              <w:t>指导学科竞赛情况</w:t>
            </w:r>
          </w:p>
          <w:tbl>
            <w:tblPr>
              <w:tblStyle w:val="7"/>
              <w:tblW w:w="9243"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699"/>
              <w:gridCol w:w="2633"/>
              <w:gridCol w:w="1501"/>
              <w:gridCol w:w="3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lang w:val="en-US" w:eastAsia="zh-CN"/>
                    </w:rPr>
                  </w:pPr>
                  <w:r>
                    <w:rPr>
                      <w:rFonts w:hint="eastAsia" w:ascii="宋体" w:hAnsi="宋体"/>
                      <w:b/>
                      <w:bCs/>
                      <w:sz w:val="22"/>
                      <w:szCs w:val="22"/>
                      <w:lang w:val="en-US" w:eastAsia="zh-CN"/>
                    </w:rPr>
                    <w:t>序号</w:t>
                  </w:r>
                </w:p>
              </w:tc>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vertAlign w:val="baseline"/>
                      <w:lang w:val="en-US" w:eastAsia="zh-CN"/>
                    </w:rPr>
                  </w:pPr>
                  <w:r>
                    <w:rPr>
                      <w:rFonts w:hint="eastAsia" w:ascii="宋体" w:hAnsi="宋体"/>
                      <w:b/>
                      <w:bCs/>
                      <w:sz w:val="22"/>
                      <w:szCs w:val="22"/>
                      <w:lang w:val="en-US" w:eastAsia="zh-CN"/>
                    </w:rPr>
                    <w:t>年度</w:t>
                  </w:r>
                </w:p>
              </w:tc>
              <w:tc>
                <w:tcPr>
                  <w:tcW w:w="2633"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参赛学生</w:t>
                  </w:r>
                </w:p>
              </w:tc>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21" w:firstLineChars="1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获奖等级</w:t>
                  </w:r>
                </w:p>
              </w:tc>
              <w:tc>
                <w:tcPr>
                  <w:tcW w:w="3711"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赛项类别/名称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吴跃康</w:t>
                  </w:r>
                  <w:r>
                    <w:rPr>
                      <w:rFonts w:hint="eastAsia" w:ascii="Times New Roman" w:hAnsi="Times New Roman" w:cs="Times New Roman"/>
                      <w:szCs w:val="21"/>
                      <w:lang w:eastAsia="zh-CN"/>
                    </w:rPr>
                    <w:t>、</w:t>
                  </w:r>
                  <w:r>
                    <w:rPr>
                      <w:rFonts w:hint="eastAsia" w:ascii="Times New Roman" w:hAnsi="Times New Roman" w:cs="Times New Roman"/>
                      <w:szCs w:val="21"/>
                    </w:rPr>
                    <w:t>陈李荣</w:t>
                  </w:r>
                  <w:r>
                    <w:rPr>
                      <w:rFonts w:hint="eastAsia" w:ascii="Times New Roman" w:hAnsi="Times New Roman" w:cs="Times New Roman"/>
                      <w:szCs w:val="21"/>
                      <w:lang w:eastAsia="zh-CN"/>
                    </w:rPr>
                    <w:t>、</w:t>
                  </w:r>
                  <w:r>
                    <w:rPr>
                      <w:rFonts w:hint="eastAsia" w:ascii="Times New Roman" w:hAnsi="Times New Roman" w:cs="Times New Roman"/>
                      <w:szCs w:val="21"/>
                    </w:rPr>
                    <w:t>赖馨钻</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第8届“飞思卡尔”杯智能汽车竞赛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姚政</w:t>
                  </w:r>
                  <w:r>
                    <w:rPr>
                      <w:rFonts w:hint="eastAsia" w:ascii="Times New Roman" w:hAnsi="Times New Roman" w:cs="Times New Roman"/>
                      <w:szCs w:val="21"/>
                      <w:lang w:eastAsia="zh-CN"/>
                    </w:rPr>
                    <w:t>、</w:t>
                  </w:r>
                  <w:r>
                    <w:rPr>
                      <w:rFonts w:hint="eastAsia" w:ascii="Times New Roman" w:hAnsi="Times New Roman" w:cs="Times New Roman"/>
                      <w:szCs w:val="21"/>
                    </w:rPr>
                    <w:t>陈笑天</w:t>
                  </w:r>
                  <w:r>
                    <w:rPr>
                      <w:rFonts w:hint="eastAsia" w:ascii="Times New Roman" w:hAnsi="Times New Roman" w:cs="Times New Roman"/>
                      <w:szCs w:val="21"/>
                      <w:lang w:eastAsia="zh-CN"/>
                    </w:rPr>
                    <w:t>、</w:t>
                  </w:r>
                  <w:r>
                    <w:rPr>
                      <w:rFonts w:hint="eastAsia" w:ascii="Times New Roman" w:hAnsi="Times New Roman" w:cs="Times New Roman"/>
                      <w:szCs w:val="21"/>
                    </w:rPr>
                    <w:t>关业欢</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第9届“飞思卡尔”杯智能汽车竞赛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2015</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程乙轮</w:t>
                  </w:r>
                  <w:r>
                    <w:rPr>
                      <w:rFonts w:hint="eastAsia" w:ascii="Times New Roman" w:hAnsi="Times New Roman" w:cs="Times New Roman"/>
                      <w:szCs w:val="21"/>
                      <w:lang w:eastAsia="zh-CN"/>
                    </w:rPr>
                    <w:t>、</w:t>
                  </w:r>
                  <w:r>
                    <w:rPr>
                      <w:rFonts w:hint="eastAsia" w:ascii="Times New Roman" w:hAnsi="Times New Roman" w:cs="Times New Roman"/>
                      <w:szCs w:val="21"/>
                    </w:rPr>
                    <w:t>季详</w:t>
                  </w:r>
                  <w:r>
                    <w:rPr>
                      <w:rFonts w:hint="eastAsia" w:ascii="Times New Roman" w:hAnsi="Times New Roman" w:cs="Times New Roman"/>
                      <w:szCs w:val="21"/>
                      <w:lang w:eastAsia="zh-CN"/>
                    </w:rPr>
                    <w:t>、</w:t>
                  </w:r>
                  <w:r>
                    <w:rPr>
                      <w:rFonts w:hint="eastAsia" w:ascii="Times New Roman" w:hAnsi="Times New Roman" w:cs="Times New Roman"/>
                      <w:szCs w:val="21"/>
                    </w:rPr>
                    <w:t>何帆</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第10届“飞思卡尔”杯智能汽车竞赛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b w:val="0"/>
                      <w:bCs w:val="0"/>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6</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赵辉、朱鹏飞、李明洋</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海南省大学生电子设计竞赛</w:t>
                  </w:r>
                  <w:r>
                    <w:rPr>
                      <w:rFonts w:hint="default" w:ascii="Times New Roman" w:hAnsi="Times New Roman" w:eastAsia="宋体" w:cs="Times New Roman"/>
                      <w:i w:val="0"/>
                      <w:iCs w:val="0"/>
                      <w:color w:val="000000"/>
                      <w:kern w:val="0"/>
                      <w:sz w:val="21"/>
                      <w:szCs w:val="21"/>
                      <w:u w:val="none"/>
                      <w:lang w:val="en-US" w:eastAsia="zh-CN" w:bidi="ar"/>
                    </w:rPr>
                    <w:t>“NI”</w:t>
                  </w:r>
                  <w:r>
                    <w:rPr>
                      <w:rFonts w:hint="eastAsia" w:ascii="宋体" w:hAnsi="宋体" w:eastAsia="宋体" w:cs="宋体"/>
                      <w:i w:val="0"/>
                      <w:iCs w:val="0"/>
                      <w:color w:val="000000"/>
                      <w:kern w:val="0"/>
                      <w:sz w:val="21"/>
                      <w:szCs w:val="21"/>
                      <w:u w:val="none"/>
                      <w:lang w:val="en-US" w:eastAsia="zh-CN" w:bidi="ar"/>
                    </w:rPr>
                    <w:t>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吉云泽、林书奋、张静靖</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海南省电子设计竞赛</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LPC”</w:t>
                  </w:r>
                  <w:r>
                    <w:rPr>
                      <w:rFonts w:hint="eastAsia" w:ascii="宋体" w:hAnsi="宋体" w:eastAsia="宋体" w:cs="宋体"/>
                      <w:i w:val="0"/>
                      <w:iCs w:val="0"/>
                      <w:color w:val="000000"/>
                      <w:kern w:val="0"/>
                      <w:sz w:val="21"/>
                      <w:szCs w:val="21"/>
                      <w:u w:val="none"/>
                      <w:lang w:val="en-US" w:eastAsia="zh-CN" w:bidi="ar"/>
                    </w:rPr>
                    <w:t>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陈新、吴松珀、</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赵荣天</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余德洋、付婉婷</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rPr>
                    <w:t>张靖奇</w:t>
                  </w:r>
                  <w:r>
                    <w:rPr>
                      <w:rFonts w:hint="eastAsia"/>
                      <w:lang w:eastAsia="zh-CN"/>
                    </w:rPr>
                    <w:t>、</w:t>
                  </w:r>
                  <w:r>
                    <w:rPr>
                      <w:rFonts w:hint="eastAsia"/>
                    </w:rPr>
                    <w:t>邢冠男</w:t>
                  </w:r>
                  <w:r>
                    <w:rPr>
                      <w:rFonts w:hint="eastAsia"/>
                      <w:lang w:eastAsia="zh-CN"/>
                    </w:rPr>
                    <w:t>、</w:t>
                  </w:r>
                  <w:r>
                    <w:rPr>
                      <w:rFonts w:hint="eastAsia"/>
                    </w:rPr>
                    <w:t>张静靖</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稂仕求、崔凤伟、肖宇驰</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王建宇、叶慧清、张译文</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桂前龙、简文、张洺玮</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14</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黎家伟、刘中华、侯石磊</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付婉婷、肖添、郭晓强</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林书奋、张浩东、刘海蓉</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张译文、王建宇、叶慧清</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施浩东、程灏良、毛亮钦</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游志超</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14</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张洺伟、董志超、施浩东</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郑国旭、周尚、张殷奇</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华南赛二等奖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16</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毛亮钦、宋明昊、施浩东</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7</w:t>
                  </w:r>
                  <w:r>
                    <w:rPr>
                      <w:rFonts w:hint="eastAsia" w:ascii="宋体" w:hAnsi="宋体" w:eastAsia="宋体" w:cs="宋体"/>
                      <w:i w:val="0"/>
                      <w:iCs w:val="0"/>
                      <w:color w:val="auto"/>
                      <w:kern w:val="0"/>
                      <w:sz w:val="21"/>
                      <w:szCs w:val="21"/>
                      <w:u w:val="none"/>
                      <w:lang w:val="en-US" w:eastAsia="zh-CN" w:bidi="ar"/>
                    </w:rPr>
                    <w:t>届全国大学生工训能力竞赛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周朝壮、郑国旭、裴玉捷</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梁育源、段传恺、张一凡</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宋明昊、刘宸、符创</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刘铭、李祎诺、孟宪正</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全国二等奖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24</w:t>
                  </w:r>
                  <w:r>
                    <w:rPr>
                      <w:rFonts w:hint="eastAsia" w:ascii="宋体" w:hAnsi="宋体" w:eastAsia="宋体" w:cs="宋体"/>
                      <w:i w:val="0"/>
                      <w:iCs w:val="0"/>
                      <w:color w:val="auto"/>
                      <w:kern w:val="0"/>
                      <w:sz w:val="21"/>
                      <w:szCs w:val="21"/>
                      <w:u w:val="none"/>
                      <w:lang w:val="en-US" w:eastAsia="zh-CN" w:bidi="ar"/>
                    </w:rPr>
                    <w:t>届中国机器人及人工智能大赛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李祎诺、蒲科宇、张嘉佳</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孟宪政、陈钟毓、蒋钰涵</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李悦嘉、李康、王怡丹</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罗雨欣、蒋忠洪、何秋丽</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邢芳、何雨彤、胡娜组</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刘铭、阳春强、刘念</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孟宪正、陈钟毓、王硕</w:t>
                  </w:r>
                </w:p>
              </w:tc>
              <w:tc>
                <w:tcPr>
                  <w:tcW w:w="1501" w:type="dxa"/>
                  <w:shd w:val="clear" w:color="auto" w:fill="auto"/>
                  <w:vAlign w:val="center"/>
                </w:tcPr>
                <w:p>
                  <w:pPr>
                    <w:keepNext w:val="0"/>
                    <w:keepLines w:val="0"/>
                    <w:pageBreakBefore w:val="0"/>
                    <w:widowControl/>
                    <w:suppressLineNumbers w:val="0"/>
                    <w:tabs>
                      <w:tab w:val="left" w:pos="390"/>
                    </w:tabs>
                    <w:kinsoku/>
                    <w:wordWrap/>
                    <w:overflowPunct/>
                    <w:topLinePunct w:val="0"/>
                    <w:autoSpaceDE/>
                    <w:autoSpaceDN/>
                    <w:bidi w:val="0"/>
                    <w:adjustRightInd/>
                    <w:snapToGrid/>
                    <w:spacing w:line="400" w:lineRule="exact"/>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省级优秀奖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胡荣、张卜玉、杨雨昕</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宋江南、王硕、姜城</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廖康、林攀、李应和</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韩一铭、陈南锦、池昌盛</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吴顺飞、廖科任</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蒋钰涵、刘晨宇、许多</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蒋忠洪、李康、冉义顺</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eastAsia="宋体" w:cs="Times New Roman"/>
                      <w:i w:val="0"/>
                      <w:iCs w:val="0"/>
                      <w:color w:val="000000"/>
                      <w:kern w:val="0"/>
                      <w:sz w:val="22"/>
                      <w:szCs w:val="22"/>
                      <w:u w:val="none"/>
                      <w:lang w:val="en-US" w:eastAsia="zh-CN" w:bidi="ar"/>
                    </w:rPr>
                    <w:t>39</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姜城、马紫睿，卢榕昊</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胡润泽、刘毅菲、曹魏晟</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宋体" w:hAnsi="宋体"/>
                <w:b/>
                <w:bCs/>
                <w:sz w:val="24"/>
                <w:lang w:val="en-US" w:eastAsia="zh-CN"/>
              </w:rPr>
            </w:pP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568"/>
        <w:gridCol w:w="636"/>
        <w:gridCol w:w="696"/>
        <w:gridCol w:w="644"/>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56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6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分等级指标分值（单位：分）</w:t>
            </w:r>
          </w:p>
        </w:tc>
        <w:tc>
          <w:tcPr>
            <w:tcW w:w="56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56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一流</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65</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1门</w:t>
            </w: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100</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r>
              <w:rPr>
                <w:rFonts w:hint="default" w:ascii="Times New Roman" w:hAnsi="Times New Roman" w:cs="Times New Roman" w:eastAsiaTheme="minorEastAsia"/>
                <w:kern w:val="0"/>
                <w:szCs w:val="21"/>
                <w:lang w:eastAsia="zh-CN"/>
              </w:rPr>
              <w:t>（</w:t>
            </w:r>
            <w:r>
              <w:rPr>
                <w:rFonts w:hint="default" w:ascii="Times New Roman" w:hAnsi="Times New Roman" w:cs="Times New Roman" w:eastAsiaTheme="minorEastAsia"/>
                <w:kern w:val="0"/>
                <w:szCs w:val="21"/>
              </w:rPr>
              <w:t>含马工程</w:t>
            </w:r>
            <w:r>
              <w:rPr>
                <w:rFonts w:hint="default" w:ascii="Times New Roman" w:hAnsi="Times New Roman" w:cs="Times New Roman" w:eastAsia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“百佳”</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其他</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课堂</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imes New Roman" w:hAnsi="Times New Roman" w:cs="Times New Roman" w:eastAsiaTheme="minorEastAsia"/>
                <w:b/>
                <w:bCs/>
                <w:kern w:val="0"/>
                <w:szCs w:val="21"/>
                <w:lang w:val="en-US" w:eastAsia="zh-CN"/>
              </w:rPr>
            </w:pP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bl>
    <w:p>
      <w:pPr>
        <w:rPr>
          <w:rFonts w:hint="eastAsia" w:asciiTheme="minorEastAsia" w:hAnsiTheme="minorEastAsia" w:eastAsiaTheme="minorEastAsia" w:cstheme="minorEastAsia"/>
        </w:rPr>
      </w:pPr>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650"/>
        <w:gridCol w:w="660"/>
        <w:gridCol w:w="273"/>
        <w:gridCol w:w="363"/>
        <w:gridCol w:w="648"/>
        <w:gridCol w:w="780"/>
        <w:gridCol w:w="644"/>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7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594"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imes New Roman" w:hAnsi="Times New Roman" w:cs="Times New Roman" w:eastAsiaTheme="minorEastAsia"/>
                <w:b/>
                <w:bCs/>
                <w:kern w:val="0"/>
                <w:szCs w:val="21"/>
                <w:lang w:eastAsia="zh-CN"/>
              </w:rPr>
            </w:pPr>
            <w:r>
              <w:rPr>
                <w:rFonts w:hint="default" w:ascii="Times New Roman" w:hAnsi="Times New Roman" w:cs="Times New Roman" w:eastAsiaTheme="minorEastAsia"/>
                <w:b/>
                <w:bCs/>
                <w:kern w:val="0"/>
                <w:szCs w:val="21"/>
              </w:rPr>
              <w:t>分等级指标分值</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单位</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分</w:t>
            </w:r>
            <w:r>
              <w:rPr>
                <w:rFonts w:hint="eastAsia" w:ascii="Times New Roman" w:hAnsi="Times New Roman" w:cs="Times New Roman"/>
                <w:b/>
                <w:bCs/>
                <w:kern w:val="0"/>
                <w:szCs w:val="21"/>
                <w:lang w:val="en-US" w:eastAsia="zh-CN"/>
              </w:rPr>
              <w:t>)</w:t>
            </w:r>
          </w:p>
        </w:tc>
        <w:tc>
          <w:tcPr>
            <w:tcW w:w="7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5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36"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4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7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全国A类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600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1520</w:t>
            </w:r>
            <w:r>
              <w:rPr>
                <w:rFonts w:hint="default" w:ascii="Times New Roman" w:hAnsi="Times New Roman" w:cs="Times New Roman" w:eastAsia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全国B类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60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全国C类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省级</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31项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920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160分/个</w:t>
            </w:r>
          </w:p>
        </w:tc>
        <w:tc>
          <w:tcPr>
            <w:tcW w:w="7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477"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2185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46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2385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bl>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2.当</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超过</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的50%时，只将</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按</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初始教育教学能力业绩量化总分值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的50%计入个人</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最终教育教学能力业绩量化总分值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（只折算一次），超过部分不计入分值。</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4" w:hRule="atLeast"/>
        </w:trPr>
        <w:tc>
          <w:tcPr>
            <w:tcW w:w="817" w:type="dxa"/>
          </w:tcPr>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before="251" w:beforeLines="80"/>
              <w:jc w:val="center"/>
              <w:textAlignment w:val="auto"/>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模拟电子技术基础</w:t>
            </w:r>
          </w:p>
        </w:tc>
        <w:tc>
          <w:tcPr>
            <w:tcW w:w="709" w:type="dxa"/>
            <w:vAlign w:val="center"/>
          </w:tcPr>
          <w:p>
            <w:pPr>
              <w:jc w:val="both"/>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1417" w:type="dxa"/>
            <w:vAlign w:val="center"/>
          </w:tcPr>
          <w:p>
            <w:pPr>
              <w:jc w:val="center"/>
              <w:rPr>
                <w:rFonts w:hint="default" w:cs="宋体" w:asciiTheme="minorEastAsia" w:hAnsiTheme="minorEastAsia" w:eastAsiaTheme="minorEastAsia"/>
                <w:kern w:val="0"/>
                <w:szCs w:val="21"/>
                <w:lang w:val="en-US" w:eastAsia="zh-CN"/>
              </w:rPr>
            </w:pPr>
            <w:r>
              <w:rPr>
                <w:rFonts w:hint="default" w:ascii="Times New Roman" w:hAnsi="Times New Roman" w:cs="Times New Roman"/>
                <w:kern w:val="0"/>
                <w:szCs w:val="21"/>
                <w:lang w:val="en-US" w:eastAsia="zh-CN"/>
              </w:rPr>
              <w:t>1/4</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2021年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color w:val="auto"/>
                <w:kern w:val="0"/>
                <w:szCs w:val="21"/>
                <w:lang w:val="en-US" w:eastAsia="zh-CN"/>
              </w:rPr>
              <w:t>65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trPr>
        <w:tc>
          <w:tcPr>
            <w:tcW w:w="817" w:type="dxa"/>
            <w:vAlign w:val="center"/>
          </w:tcPr>
          <w:p>
            <w:pPr>
              <w:jc w:val="center"/>
              <w:rPr>
                <w:rFonts w:cs="宋体" w:asciiTheme="minorEastAsia" w:hAnsiTheme="minorEastAsia"/>
                <w:kern w:val="0"/>
                <w:szCs w:val="21"/>
              </w:rPr>
            </w:pPr>
          </w:p>
        </w:tc>
        <w:tc>
          <w:tcPr>
            <w:tcW w:w="4111" w:type="dxa"/>
            <w:vAlign w:val="center"/>
          </w:tcPr>
          <w:p>
            <w:pPr>
              <w:jc w:val="center"/>
              <w:rPr>
                <w:rFonts w:hint="eastAsia" w:cs="宋体" w:asciiTheme="minorEastAsia" w:hAnsiTheme="minorEastAsia"/>
                <w:kern w:val="0"/>
                <w:szCs w:val="21"/>
                <w:lang w:val="en-US" w:eastAsia="zh-CN"/>
              </w:rPr>
            </w:pPr>
          </w:p>
        </w:tc>
        <w:tc>
          <w:tcPr>
            <w:tcW w:w="709" w:type="dxa"/>
            <w:vAlign w:val="center"/>
          </w:tcPr>
          <w:p>
            <w:pPr>
              <w:jc w:val="both"/>
              <w:rPr>
                <w:rFonts w:hint="eastAsia" w:cs="宋体" w:asciiTheme="minorEastAsia" w:hAnsiTheme="minorEastAsia"/>
                <w:kern w:val="0"/>
                <w:szCs w:val="21"/>
                <w:lang w:val="en-US" w:eastAsia="zh-CN"/>
              </w:rPr>
            </w:pPr>
          </w:p>
        </w:tc>
        <w:tc>
          <w:tcPr>
            <w:tcW w:w="1417" w:type="dxa"/>
            <w:vAlign w:val="center"/>
          </w:tcPr>
          <w:p>
            <w:pPr>
              <w:jc w:val="center"/>
              <w:rPr>
                <w:rFonts w:hint="default" w:ascii="Times New Roman" w:hAnsi="Times New Roman" w:cs="Times New Roman"/>
                <w:kern w:val="0"/>
                <w:szCs w:val="21"/>
                <w:lang w:val="en-US" w:eastAsia="zh-CN"/>
              </w:rPr>
            </w:pPr>
          </w:p>
        </w:tc>
        <w:tc>
          <w:tcPr>
            <w:tcW w:w="1276" w:type="dxa"/>
            <w:tcBorders>
              <w:right w:val="single" w:color="auto" w:sz="4" w:space="0"/>
            </w:tcBorders>
            <w:vAlign w:val="center"/>
          </w:tcPr>
          <w:p>
            <w:pPr>
              <w:jc w:val="center"/>
              <w:rPr>
                <w:rFonts w:hint="eastAsia" w:cs="宋体" w:asciiTheme="minorEastAsia" w:hAnsiTheme="minorEastAsia"/>
                <w:kern w:val="0"/>
                <w:szCs w:val="21"/>
                <w:lang w:val="en-US" w:eastAsia="zh-CN"/>
              </w:rPr>
            </w:pPr>
          </w:p>
        </w:tc>
        <w:tc>
          <w:tcPr>
            <w:tcW w:w="992" w:type="dxa"/>
            <w:tcBorders>
              <w:right w:val="single" w:color="auto" w:sz="4" w:space="0"/>
            </w:tcBorders>
            <w:vAlign w:val="center"/>
          </w:tcPr>
          <w:p>
            <w:pPr>
              <w:jc w:val="center"/>
              <w:rPr>
                <w:rFonts w:hint="default" w:ascii="Times New Roman" w:hAnsi="Times New Roman" w:cs="Times New Roman"/>
                <w:kern w:val="0"/>
                <w:szCs w:val="21"/>
                <w:lang w:val="en-US" w:eastAsia="zh-CN"/>
              </w:rPr>
            </w:pPr>
          </w:p>
        </w:tc>
        <w:tc>
          <w:tcPr>
            <w:tcW w:w="532" w:type="dxa"/>
            <w:tcBorders>
              <w:left w:val="single" w:color="auto" w:sz="4" w:space="0"/>
            </w:tcBorders>
            <w:vAlign w:val="center"/>
          </w:tcPr>
          <w:p>
            <w:pPr>
              <w:jc w:val="center"/>
              <w:rPr>
                <w:rFonts w:hint="eastAsia" w:ascii="Times New Roman" w:hAnsi="Times New Roman" w:cs="Times New Roman"/>
                <w:b/>
                <w:bCs/>
                <w:color w:val="auto"/>
                <w:kern w:val="0"/>
                <w:szCs w:val="21"/>
                <w:lang w:val="en-US" w:eastAsia="zh-CN"/>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2" w:hRule="atLeast"/>
        </w:trPr>
        <w:tc>
          <w:tcPr>
            <w:tcW w:w="817" w:type="dxa"/>
            <w:vAlign w:val="center"/>
          </w:tcPr>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w:t>
            </w: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hint="default" w:cs="宋体" w:asciiTheme="minorEastAsia" w:hAnsiTheme="minorEastAsia"/>
                <w:kern w:val="0"/>
                <w:szCs w:val="21"/>
                <w:lang w:val="en-US"/>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46" w:hRule="atLeast"/>
        </w:trPr>
        <w:tc>
          <w:tcPr>
            <w:tcW w:w="817" w:type="dxa"/>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中国电子学会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3</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中国电子学会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4" w:hRule="atLeast"/>
        </w:trPr>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4</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both"/>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5</w:t>
            </w:r>
          </w:p>
        </w:tc>
        <w:tc>
          <w:tcPr>
            <w:tcW w:w="3119" w:type="dxa"/>
            <w:vAlign w:val="center"/>
          </w:tcPr>
          <w:p>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首届全国教师教学创新大赛</w:t>
            </w:r>
          </w:p>
        </w:tc>
        <w:tc>
          <w:tcPr>
            <w:tcW w:w="708" w:type="dxa"/>
            <w:vAlign w:val="center"/>
          </w:tcPr>
          <w:p>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校级</w:t>
            </w:r>
          </w:p>
        </w:tc>
        <w:tc>
          <w:tcPr>
            <w:tcW w:w="851"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二</w:t>
            </w:r>
            <w:r>
              <w:rPr>
                <w:rFonts w:hint="default" w:ascii="Times New Roman" w:hAnsi="Times New Roman" w:cs="Times New Roman"/>
                <w:color w:val="auto"/>
                <w:kern w:val="0"/>
                <w:szCs w:val="21"/>
                <w:lang w:val="en-US" w:eastAsia="zh-CN"/>
              </w:rPr>
              <w:t>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2021年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6</w:t>
            </w:r>
          </w:p>
        </w:tc>
        <w:tc>
          <w:tcPr>
            <w:tcW w:w="3119"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第三届全国教师教学创新大赛</w:t>
            </w:r>
          </w:p>
        </w:tc>
        <w:tc>
          <w:tcPr>
            <w:tcW w:w="708"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校级</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一</w:t>
            </w:r>
            <w:r>
              <w:rPr>
                <w:rFonts w:hint="default" w:ascii="Times New Roman" w:hAnsi="Times New Roman" w:cs="Times New Roman"/>
                <w:color w:val="auto"/>
                <w:kern w:val="0"/>
                <w:szCs w:val="21"/>
                <w:lang w:val="en-US" w:eastAsia="zh-CN"/>
              </w:rPr>
              <w:t>等</w:t>
            </w:r>
          </w:p>
        </w:tc>
        <w:tc>
          <w:tcPr>
            <w:tcW w:w="1417" w:type="dxa"/>
            <w:vAlign w:val="center"/>
          </w:tcPr>
          <w:p>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2023年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4" w:hRule="atLeast"/>
        </w:trPr>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7</w:t>
            </w:r>
          </w:p>
        </w:tc>
        <w:tc>
          <w:tcPr>
            <w:tcW w:w="3119"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第四届全国高校教师教学创新大赛</w:t>
            </w:r>
          </w:p>
        </w:tc>
        <w:tc>
          <w:tcPr>
            <w:tcW w:w="708"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省级</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海南省教育厅</w:t>
            </w:r>
          </w:p>
        </w:tc>
        <w:tc>
          <w:tcPr>
            <w:tcW w:w="992" w:type="dxa"/>
            <w:tcBorders>
              <w:right w:val="single" w:color="auto" w:sz="4" w:space="0"/>
            </w:tcBorders>
            <w:vAlign w:val="center"/>
          </w:tcPr>
          <w:p>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2024年</w:t>
            </w: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0" w:hRule="exact"/>
        </w:trPr>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widowControl/>
              <w:jc w:val="left"/>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hint="default" w:ascii="Times New Roman" w:hAnsi="Times New Roman" w:eastAsia="黑体" w:cs="Times New Roman"/>
                <w:b/>
                <w:bCs/>
                <w:kern w:val="0"/>
                <w:sz w:val="32"/>
                <w:szCs w:val="32"/>
              </w:rPr>
            </w:pPr>
            <w:r>
              <w:rPr>
                <w:rFonts w:hint="default" w:ascii="Times New Roman" w:hAnsi="Times New Roman" w:eastAsia="黑体" w:cs="Times New Roman"/>
                <w:bCs/>
                <w:kern w:val="0"/>
                <w:sz w:val="32"/>
                <w:szCs w:val="32"/>
              </w:rPr>
              <w:t xml:space="preserve">高校教师职务任职资格评审科研创新能力评价计分汇总表 </w:t>
            </w:r>
            <w:r>
              <w:rPr>
                <w:rFonts w:hint="default" w:ascii="Times New Roman" w:hAnsi="Times New Roman" w:eastAsia="黑体" w:cs="Times New Roman"/>
                <w:b/>
                <w:bCs/>
                <w:kern w:val="0"/>
                <w:sz w:val="32"/>
                <w:szCs w:val="32"/>
              </w:rPr>
              <w:t xml:space="preserve">                                                                                                                      </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eastAsia="zh-CN"/>
              </w:rPr>
              <w:t>人文</w:t>
            </w:r>
            <w:r>
              <w:rPr>
                <w:rFonts w:hint="default" w:ascii="Times New Roman" w:hAnsi="Times New Roman" w:eastAsia="仿宋_GB2312" w:cs="Times New Roman"/>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部委级</w:t>
            </w:r>
            <w:r>
              <w:rPr>
                <w:rFonts w:hint="default" w:ascii="Times New Roman" w:hAnsi="Times New Roman" w:eastAsia="宋体" w:cs="Times New Roman"/>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rPr>
              <w:t>A级</w:t>
            </w:r>
            <w:r>
              <w:rPr>
                <w:rFonts w:hint="default" w:ascii="Times New Roman" w:hAnsi="Times New Roman" w:eastAsia="宋体" w:cs="Times New Roman"/>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page"/>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bl>
    <w:p>
      <w:pP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当【学术论文分值】超过【初始科研总分】的60%时，需将此项分值按【初始科研总分】的60%计入个人【最后科研总分】（只折算一次）。</w:t>
      </w:r>
    </w:p>
    <w:p>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default" w:ascii="Times New Roman" w:hAnsi="Times New Roman" w:eastAsia="宋体" w:cs="Times New Roman"/>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hint="default" w:ascii="Times New Roman" w:hAnsi="Times New Roman" w:eastAsia="黑体" w:cs="Times New Roman"/>
                <w:bCs/>
                <w:kern w:val="0"/>
                <w:sz w:val="40"/>
                <w:szCs w:val="40"/>
              </w:rPr>
            </w:pPr>
            <w:r>
              <w:rPr>
                <w:rFonts w:hint="default" w:ascii="Times New Roman" w:hAnsi="Times New Roman" w:eastAsia="黑体" w:cs="Times New Roman"/>
                <w:bCs/>
                <w:kern w:val="0"/>
                <w:sz w:val="32"/>
                <w:szCs w:val="32"/>
              </w:rPr>
              <w:t>高校教师职务任职资格评审科研创新能力评价计分汇总表</w:t>
            </w:r>
            <w:r>
              <w:rPr>
                <w:rFonts w:hint="default" w:ascii="Times New Roman" w:hAnsi="Times New Roman" w:eastAsia="黑体" w:cs="Times New Roman"/>
                <w:bCs/>
                <w:kern w:val="0"/>
                <w:sz w:val="40"/>
                <w:szCs w:val="40"/>
              </w:rPr>
              <w:t xml:space="preserve">                                                                                         </w:t>
            </w:r>
            <w:r>
              <w:rPr>
                <w:rFonts w:hint="default" w:ascii="Times New Roman" w:hAnsi="Times New Roman" w:eastAsia="仿宋_GB2312" w:cs="Times New Roman"/>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w:t>
            </w:r>
            <w:r>
              <w:rPr>
                <w:rFonts w:hint="default" w:ascii="Times New Roman" w:hAnsi="Times New Roman" w:eastAsia="宋体" w:cs="Times New Roman"/>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2项</w:t>
            </w: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200</w:t>
            </w: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160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40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2部</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lang w:val="en-US" w:eastAsia="zh-CN"/>
              </w:rPr>
              <w:t>300</w:t>
            </w:r>
            <w:r>
              <w:rPr>
                <w:rFonts w:hint="default" w:ascii="Times New Roman" w:hAnsi="Times New Roman" w:eastAsia="仿宋" w:cs="Times New Roman"/>
                <w:b/>
                <w:bCs/>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bl>
    <w:p>
      <w:pPr>
        <w:rPr>
          <w:rFonts w:hint="default" w:ascii="Times New Roman" w:hAnsi="Times New Roman" w:cs="Times New Roman"/>
        </w:rPr>
      </w:pPr>
    </w:p>
    <w:p>
      <w:pPr>
        <w:widowControl/>
        <w:jc w:val="left"/>
      </w:pPr>
      <w:r>
        <w:rPr>
          <w:rFonts w:hint="default" w:ascii="Times New Roman" w:hAnsi="Times New Roman" w:cs="Times New Roman"/>
        </w:rPr>
        <w:br w:type="page"/>
      </w:r>
    </w:p>
    <w:p/>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w:t>
            </w:r>
          </w:p>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六、知识</w:t>
            </w:r>
          </w:p>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b/>
                <w:bCs/>
                <w:kern w:val="0"/>
                <w:sz w:val="24"/>
                <w:szCs w:val="24"/>
                <w:lang w:val="en-US" w:eastAsia="zh-CN"/>
              </w:rPr>
              <w:t>420</w:t>
            </w: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120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ascii="Times New Roman" w:hAnsi="Times New Roman" w:cs="Times New Roman" w:eastAsiaTheme="minorEastAsia"/>
          <w:kern w:val="0"/>
          <w:sz w:val="24"/>
          <w:szCs w:val="24"/>
          <w:lang w:eastAsia="zh-CN"/>
        </w:rPr>
      </w:pPr>
      <w:r>
        <w:rPr>
          <w:rFonts w:hint="default" w:ascii="Times New Roman" w:hAnsi="Times New Roman" w:cs="Times New Roman" w:eastAsiaTheme="minorEastAsia"/>
          <w:kern w:val="0"/>
          <w:sz w:val="24"/>
          <w:szCs w:val="24"/>
        </w:rPr>
        <w:t>注</w:t>
      </w:r>
      <w:r>
        <w:rPr>
          <w:rFonts w:hint="default" w:ascii="Times New Roman" w:hAnsi="Times New Roman" w:cs="Times New Roman" w:eastAsiaTheme="minorEastAsia"/>
          <w:kern w:val="0"/>
          <w:sz w:val="24"/>
          <w:szCs w:val="24"/>
          <w:lang w:eastAsia="zh-CN"/>
        </w:rPr>
        <w:t>：当</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超过</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的60%时，只将</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按</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的60%计入个人</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最终科研创新业绩量化总分值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（只折算一次）。</w:t>
      </w:r>
    </w:p>
    <w:p>
      <w:pPr>
        <w:rPr>
          <w:rFonts w:hint="default" w:ascii="Times New Roman" w:hAnsi="Times New Roman" w:cs="Times New Roman" w:eastAsiaTheme="minorEastAsia"/>
          <w:kern w:val="0"/>
          <w:sz w:val="24"/>
          <w:szCs w:val="24"/>
          <w:lang w:eastAsia="zh-CN"/>
        </w:rPr>
      </w:pPr>
    </w:p>
    <w:p>
      <w:pPr>
        <w:rPr>
          <w:rFonts w:hint="default" w:ascii="Times New Roman" w:hAnsi="Times New Roman" w:cs="Times New Roman"/>
        </w:rPr>
      </w:pPr>
      <w:r>
        <w:rPr>
          <w:rFonts w:hint="default" w:ascii="Times New Roman" w:hAnsi="Times New Roman" w:eastAsia="宋体" w:cs="Times New Roman"/>
          <w:kern w:val="0"/>
          <w:sz w:val="24"/>
          <w:szCs w:val="24"/>
        </w:rPr>
        <w:t>二级单位审核者签名：                     职能部门审核者签名：</w:t>
      </w:r>
    </w:p>
    <w:p>
      <w:pPr>
        <w:rPr>
          <w:rFonts w:hint="default" w:ascii="Times New Roman" w:hAnsi="Times New Roman" w:cs="Times New Roman"/>
        </w:rPr>
      </w:pPr>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53"/>
        <w:gridCol w:w="664"/>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53"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664"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36"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电容电路火花引燃爆炸性气体试验评价的计算机模拟</w:t>
            </w:r>
          </w:p>
        </w:tc>
        <w:tc>
          <w:tcPr>
            <w:tcW w:w="103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20165199</w:t>
            </w:r>
          </w:p>
        </w:tc>
        <w:tc>
          <w:tcPr>
            <w:tcW w:w="932"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海南省自然科学基金</w:t>
            </w:r>
          </w:p>
        </w:tc>
        <w:tc>
          <w:tcPr>
            <w:tcW w:w="850"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w:t>
            </w:r>
          </w:p>
        </w:tc>
        <w:tc>
          <w:tcPr>
            <w:tcW w:w="851"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5</w:t>
            </w:r>
          </w:p>
        </w:tc>
        <w:tc>
          <w:tcPr>
            <w:tcW w:w="753"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709"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36" w:type="dxa"/>
            <w:tcBorders>
              <w:tl2br w:val="nil"/>
              <w:tr2bl w:val="nil"/>
            </w:tcBorders>
            <w:shd w:val="clear" w:color="auto" w:fill="auto"/>
            <w:vAlign w:val="center"/>
          </w:tcPr>
          <w:p>
            <w:pPr>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lang w:val="en-US" w:eastAsia="zh-CN"/>
              </w:rPr>
              <w:t>本安电路气体放电的多物理场解耦策略及其方法研究</w:t>
            </w:r>
          </w:p>
        </w:tc>
        <w:tc>
          <w:tcPr>
            <w:tcW w:w="103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lang w:val="en-US" w:eastAsia="zh-CN"/>
              </w:rPr>
              <w:t>42RC667</w:t>
            </w:r>
          </w:p>
        </w:tc>
        <w:tc>
          <w:tcPr>
            <w:tcW w:w="932"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海南省自然基金高层次人才</w:t>
            </w:r>
          </w:p>
        </w:tc>
        <w:tc>
          <w:tcPr>
            <w:tcW w:w="850"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2022</w:t>
            </w:r>
          </w:p>
        </w:tc>
        <w:tc>
          <w:tcPr>
            <w:tcW w:w="851" w:type="dxa"/>
            <w:tcBorders>
              <w:tl2br w:val="nil"/>
              <w:tr2bl w:val="nil"/>
            </w:tcBorders>
            <w:vAlign w:val="center"/>
          </w:tcPr>
          <w:p>
            <w:pPr>
              <w:jc w:val="center"/>
              <w:rPr>
                <w:rFonts w:hint="default" w:ascii="Times New Roman" w:hAnsi="Times New Roman" w:cs="Times New Roman"/>
                <w:b w:val="0"/>
                <w:bCs w:val="0"/>
                <w:lang w:val="en-US"/>
              </w:rPr>
            </w:pPr>
            <w:r>
              <w:rPr>
                <w:rFonts w:hint="default" w:ascii="Times New Roman" w:hAnsi="Times New Roman" w:cs="Times New Roman"/>
                <w:sz w:val="21"/>
                <w:szCs w:val="21"/>
                <w:lang w:val="en-US" w:eastAsia="zh-CN"/>
              </w:rPr>
              <w:t>10</w:t>
            </w:r>
          </w:p>
        </w:tc>
        <w:tc>
          <w:tcPr>
            <w:tcW w:w="753"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否</w:t>
            </w:r>
          </w:p>
        </w:tc>
        <w:tc>
          <w:tcPr>
            <w:tcW w:w="709"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pPr>
              <w:rPr>
                <w:b w:val="0"/>
                <w:bCs w:val="0"/>
              </w:rPr>
            </w:pPr>
          </w:p>
        </w:tc>
        <w:tc>
          <w:tcPr>
            <w:tcW w:w="736" w:type="dxa"/>
            <w:tcBorders>
              <w:bottom w:val="single" w:color="000000" w:sz="12" w:space="0"/>
              <w:tl2br w:val="nil"/>
              <w:tr2bl w:val="nil"/>
            </w:tcBorders>
            <w:vAlign w:val="center"/>
          </w:tcPr>
          <w:p>
            <w:pPr>
              <w:rPr>
                <w:b w:val="0"/>
                <w:bCs w:val="0"/>
              </w:rPr>
            </w:pPr>
          </w:p>
        </w:tc>
        <w:tc>
          <w:tcPr>
            <w:tcW w:w="2196" w:type="dxa"/>
            <w:tcBorders>
              <w:bottom w:val="single" w:color="000000" w:sz="12" w:space="0"/>
              <w:tl2br w:val="nil"/>
              <w:tr2bl w:val="nil"/>
            </w:tcBorders>
            <w:vAlign w:val="center"/>
          </w:tcPr>
          <w:p>
            <w:pPr>
              <w:rPr>
                <w:b w:val="0"/>
                <w:bCs w:val="0"/>
              </w:rPr>
            </w:pPr>
          </w:p>
        </w:tc>
        <w:tc>
          <w:tcPr>
            <w:tcW w:w="1036" w:type="dxa"/>
            <w:tcBorders>
              <w:bottom w:val="single" w:color="000000" w:sz="12" w:space="0"/>
              <w:tl2br w:val="nil"/>
              <w:tr2bl w:val="nil"/>
            </w:tcBorders>
            <w:vAlign w:val="center"/>
          </w:tcPr>
          <w:p>
            <w:pPr>
              <w:rPr>
                <w:b w:val="0"/>
                <w:bCs w:val="0"/>
              </w:rPr>
            </w:pPr>
          </w:p>
        </w:tc>
        <w:tc>
          <w:tcPr>
            <w:tcW w:w="932" w:type="dxa"/>
            <w:tcBorders>
              <w:bottom w:val="single" w:color="000000" w:sz="12" w:space="0"/>
              <w:tl2br w:val="nil"/>
              <w:tr2bl w:val="nil"/>
            </w:tcBorders>
            <w:vAlign w:val="center"/>
          </w:tcPr>
          <w:p>
            <w:pPr>
              <w:rPr>
                <w:b w:val="0"/>
                <w:bCs w:val="0"/>
              </w:rPr>
            </w:pPr>
          </w:p>
        </w:tc>
        <w:tc>
          <w:tcPr>
            <w:tcW w:w="850" w:type="dxa"/>
            <w:tcBorders>
              <w:bottom w:val="single" w:color="000000" w:sz="12" w:space="0"/>
              <w:tl2br w:val="nil"/>
              <w:tr2bl w:val="nil"/>
            </w:tcBorders>
            <w:vAlign w:val="center"/>
          </w:tcPr>
          <w:p>
            <w:pPr>
              <w:rPr>
                <w:b w:val="0"/>
                <w:bCs w:val="0"/>
              </w:rPr>
            </w:pPr>
          </w:p>
        </w:tc>
        <w:tc>
          <w:tcPr>
            <w:tcW w:w="851" w:type="dxa"/>
            <w:tcBorders>
              <w:bottom w:val="single" w:color="000000" w:sz="12" w:space="0"/>
              <w:tl2br w:val="nil"/>
              <w:tr2bl w:val="nil"/>
            </w:tcBorders>
            <w:vAlign w:val="center"/>
          </w:tcPr>
          <w:p>
            <w:pPr>
              <w:rPr>
                <w:b w:val="0"/>
                <w:bCs w:val="0"/>
              </w:rPr>
            </w:pPr>
          </w:p>
        </w:tc>
        <w:tc>
          <w:tcPr>
            <w:tcW w:w="753" w:type="dxa"/>
            <w:tcBorders>
              <w:bottom w:val="single" w:color="000000" w:sz="12" w:space="0"/>
              <w:tl2br w:val="nil"/>
              <w:tr2bl w:val="nil"/>
            </w:tcBorders>
            <w:vAlign w:val="center"/>
          </w:tcPr>
          <w:p>
            <w:pPr>
              <w:rPr>
                <w:b w:val="0"/>
                <w:bCs w:val="0"/>
              </w:rPr>
            </w:pPr>
          </w:p>
        </w:tc>
        <w:tc>
          <w:tcPr>
            <w:tcW w:w="664" w:type="dxa"/>
            <w:tcBorders>
              <w:bottom w:val="single" w:color="000000" w:sz="12" w:space="0"/>
              <w:tl2br w:val="nil"/>
              <w:tr2bl w:val="nil"/>
            </w:tcBorders>
            <w:vAlign w:val="center"/>
          </w:tcPr>
          <w:p>
            <w:pPr>
              <w:rPr>
                <w:b w:val="0"/>
                <w:bCs w:val="0"/>
              </w:rPr>
            </w:pPr>
          </w:p>
        </w:tc>
        <w:tc>
          <w:tcPr>
            <w:tcW w:w="709" w:type="dxa"/>
            <w:tcBorders>
              <w:bottom w:val="single" w:color="000000" w:sz="12" w:space="0"/>
              <w:tl2br w:val="nil"/>
              <w:tr2bl w:val="nil"/>
            </w:tcBorders>
            <w:vAlign w:val="center"/>
          </w:tcPr>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pPr>
              <w:rPr>
                <w:b w:val="0"/>
                <w:bCs w:val="0"/>
              </w:rPr>
            </w:pPr>
          </w:p>
        </w:tc>
        <w:tc>
          <w:tcPr>
            <w:tcW w:w="736" w:type="dxa"/>
            <w:tcBorders>
              <w:top w:val="single" w:color="000000" w:sz="12" w:space="0"/>
            </w:tcBorders>
            <w:vAlign w:val="center"/>
          </w:tcPr>
          <w:p>
            <w:pPr>
              <w:rPr>
                <w:b w:val="0"/>
                <w:bCs w:val="0"/>
              </w:rPr>
            </w:pPr>
          </w:p>
        </w:tc>
        <w:tc>
          <w:tcPr>
            <w:tcW w:w="2196" w:type="dxa"/>
            <w:tcBorders>
              <w:top w:val="single" w:color="000000" w:sz="12" w:space="0"/>
            </w:tcBorders>
            <w:vAlign w:val="center"/>
          </w:tcPr>
          <w:p>
            <w:pPr>
              <w:rPr>
                <w:b w:val="0"/>
                <w:bCs w:val="0"/>
              </w:rPr>
            </w:pPr>
          </w:p>
        </w:tc>
        <w:tc>
          <w:tcPr>
            <w:tcW w:w="1036" w:type="dxa"/>
            <w:tcBorders>
              <w:top w:val="single" w:color="000000" w:sz="12" w:space="0"/>
            </w:tcBorders>
            <w:vAlign w:val="center"/>
          </w:tcPr>
          <w:p>
            <w:pPr>
              <w:rPr>
                <w:b w:val="0"/>
                <w:bCs w:val="0"/>
              </w:rPr>
            </w:pPr>
          </w:p>
        </w:tc>
        <w:tc>
          <w:tcPr>
            <w:tcW w:w="932" w:type="dxa"/>
            <w:tcBorders>
              <w:top w:val="single" w:color="000000" w:sz="12" w:space="0"/>
            </w:tcBorders>
            <w:vAlign w:val="center"/>
          </w:tcPr>
          <w:p>
            <w:pPr>
              <w:rPr>
                <w:b w:val="0"/>
                <w:bCs w:val="0"/>
              </w:rPr>
            </w:pPr>
          </w:p>
        </w:tc>
        <w:tc>
          <w:tcPr>
            <w:tcW w:w="850" w:type="dxa"/>
            <w:tcBorders>
              <w:top w:val="single" w:color="000000" w:sz="12" w:space="0"/>
            </w:tcBorders>
            <w:vAlign w:val="center"/>
          </w:tcPr>
          <w:p>
            <w:pPr>
              <w:rPr>
                <w:b w:val="0"/>
                <w:bCs w:val="0"/>
              </w:rPr>
            </w:pPr>
          </w:p>
        </w:tc>
        <w:tc>
          <w:tcPr>
            <w:tcW w:w="851" w:type="dxa"/>
            <w:tcBorders>
              <w:top w:val="single" w:color="000000" w:sz="12" w:space="0"/>
            </w:tcBorders>
            <w:vAlign w:val="center"/>
          </w:tcPr>
          <w:p>
            <w:pPr>
              <w:rPr>
                <w:b w:val="0"/>
                <w:bCs w:val="0"/>
              </w:rPr>
            </w:pPr>
          </w:p>
        </w:tc>
        <w:tc>
          <w:tcPr>
            <w:tcW w:w="753" w:type="dxa"/>
            <w:tcBorders>
              <w:top w:val="single" w:color="000000" w:sz="12" w:space="0"/>
            </w:tcBorders>
            <w:vAlign w:val="center"/>
          </w:tcPr>
          <w:p>
            <w:pPr>
              <w:rPr>
                <w:b w:val="0"/>
                <w:bCs w:val="0"/>
              </w:rPr>
            </w:pPr>
          </w:p>
        </w:tc>
        <w:tc>
          <w:tcPr>
            <w:tcW w:w="664" w:type="dxa"/>
            <w:tcBorders>
              <w:top w:val="single" w:color="000000" w:sz="12" w:space="0"/>
            </w:tcBorders>
            <w:vAlign w:val="center"/>
          </w:tcPr>
          <w:p>
            <w:pPr>
              <w:rPr>
                <w:b w:val="0"/>
                <w:bCs w:val="0"/>
              </w:rPr>
            </w:pPr>
          </w:p>
        </w:tc>
        <w:tc>
          <w:tcPr>
            <w:tcW w:w="709" w:type="dxa"/>
            <w:tcBorders>
              <w:top w:val="single" w:color="000000" w:sz="12" w:space="0"/>
            </w:tcBorders>
            <w:vAlign w:val="center"/>
          </w:tcPr>
          <w:p>
            <w:pPr>
              <w:snapToGrid w:val="0"/>
              <w:rPr>
                <w:b w:val="0"/>
                <w:bCs w:val="0"/>
              </w:rPr>
            </w:pPr>
          </w:p>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pPr>
              <w:rPr>
                <w:b w:val="0"/>
                <w:bCs w:val="0"/>
              </w:rPr>
            </w:pPr>
          </w:p>
        </w:tc>
        <w:tc>
          <w:tcPr>
            <w:tcW w:w="478" w:type="dxa"/>
            <w:tcBorders>
              <w:tl2br w:val="nil"/>
              <w:tr2bl w:val="nil"/>
            </w:tcBorders>
            <w:vAlign w:val="center"/>
          </w:tcPr>
          <w:p>
            <w:pPr>
              <w:rPr>
                <w:b w:val="0"/>
                <w:bCs w:val="0"/>
              </w:rPr>
            </w:pPr>
          </w:p>
        </w:tc>
        <w:tc>
          <w:tcPr>
            <w:tcW w:w="736" w:type="dxa"/>
            <w:tcBorders>
              <w:tl2br w:val="nil"/>
              <w:tr2bl w:val="nil"/>
            </w:tcBorders>
            <w:vAlign w:val="center"/>
          </w:tcPr>
          <w:p>
            <w:pPr>
              <w:rPr>
                <w:b w:val="0"/>
                <w:bCs w:val="0"/>
              </w:rPr>
            </w:pPr>
          </w:p>
        </w:tc>
        <w:tc>
          <w:tcPr>
            <w:tcW w:w="2196" w:type="dxa"/>
            <w:tcBorders>
              <w:tl2br w:val="nil"/>
              <w:tr2bl w:val="nil"/>
            </w:tcBorders>
            <w:vAlign w:val="center"/>
          </w:tcPr>
          <w:p>
            <w:pPr>
              <w:rPr>
                <w:b w:val="0"/>
                <w:bCs w:val="0"/>
              </w:rPr>
            </w:pPr>
          </w:p>
        </w:tc>
        <w:tc>
          <w:tcPr>
            <w:tcW w:w="1036" w:type="dxa"/>
            <w:tcBorders>
              <w:tl2br w:val="nil"/>
              <w:tr2bl w:val="nil"/>
            </w:tcBorders>
            <w:vAlign w:val="center"/>
          </w:tcPr>
          <w:p>
            <w:pPr>
              <w:rPr>
                <w:b w:val="0"/>
                <w:bCs w:val="0"/>
              </w:rPr>
            </w:pPr>
          </w:p>
        </w:tc>
        <w:tc>
          <w:tcPr>
            <w:tcW w:w="932" w:type="dxa"/>
            <w:tcBorders>
              <w:tl2br w:val="nil"/>
              <w:tr2bl w:val="nil"/>
            </w:tcBorders>
            <w:vAlign w:val="center"/>
          </w:tcPr>
          <w:p>
            <w:pPr>
              <w:rPr>
                <w:b w:val="0"/>
                <w:bCs w:val="0"/>
              </w:rPr>
            </w:pPr>
          </w:p>
        </w:tc>
        <w:tc>
          <w:tcPr>
            <w:tcW w:w="850" w:type="dxa"/>
            <w:tcBorders>
              <w:tl2br w:val="nil"/>
              <w:tr2bl w:val="nil"/>
            </w:tcBorders>
            <w:vAlign w:val="center"/>
          </w:tcPr>
          <w:p>
            <w:pPr>
              <w:rPr>
                <w:b w:val="0"/>
                <w:bCs w:val="0"/>
              </w:rPr>
            </w:pPr>
          </w:p>
        </w:tc>
        <w:tc>
          <w:tcPr>
            <w:tcW w:w="851" w:type="dxa"/>
            <w:tcBorders>
              <w:tl2br w:val="nil"/>
              <w:tr2bl w:val="nil"/>
            </w:tcBorders>
            <w:vAlign w:val="center"/>
          </w:tcPr>
          <w:p>
            <w:pPr>
              <w:rPr>
                <w:b w:val="0"/>
                <w:bCs w:val="0"/>
              </w:rPr>
            </w:pPr>
          </w:p>
        </w:tc>
        <w:tc>
          <w:tcPr>
            <w:tcW w:w="753" w:type="dxa"/>
            <w:tcBorders>
              <w:tl2br w:val="nil"/>
              <w:tr2bl w:val="nil"/>
            </w:tcBorders>
            <w:vAlign w:val="center"/>
          </w:tcPr>
          <w:p>
            <w:pPr>
              <w:rPr>
                <w:b w:val="0"/>
                <w:bCs w:val="0"/>
              </w:rPr>
            </w:pPr>
          </w:p>
        </w:tc>
        <w:tc>
          <w:tcPr>
            <w:tcW w:w="664" w:type="dxa"/>
            <w:tcBorders>
              <w:tl2br w:val="nil"/>
              <w:tr2bl w:val="nil"/>
            </w:tcBorders>
            <w:vAlign w:val="center"/>
          </w:tcPr>
          <w:p>
            <w:pPr>
              <w:rPr>
                <w:b w:val="0"/>
                <w:bCs w:val="0"/>
              </w:rPr>
            </w:pPr>
          </w:p>
        </w:tc>
        <w:tc>
          <w:tcPr>
            <w:tcW w:w="709" w:type="dxa"/>
            <w:tcBorders>
              <w:tl2br w:val="nil"/>
              <w:tr2bl w:val="nil"/>
            </w:tcBorders>
            <w:vAlign w:val="center"/>
          </w:tcPr>
          <w:p>
            <w:pPr>
              <w:snapToGrid w:val="0"/>
              <w:rPr>
                <w:b w:val="0"/>
                <w:bCs w:val="0"/>
              </w:rPr>
            </w:pPr>
          </w:p>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pPr>
              <w:rPr>
                <w:b w:val="0"/>
                <w:bCs w:val="0"/>
              </w:rPr>
            </w:pPr>
          </w:p>
        </w:tc>
        <w:tc>
          <w:tcPr>
            <w:tcW w:w="478" w:type="dxa"/>
            <w:tcBorders>
              <w:tl2br w:val="nil"/>
              <w:tr2bl w:val="nil"/>
            </w:tcBorders>
            <w:vAlign w:val="center"/>
          </w:tcPr>
          <w:p>
            <w:pPr>
              <w:rPr>
                <w:b w:val="0"/>
                <w:bCs w:val="0"/>
              </w:rPr>
            </w:pPr>
          </w:p>
        </w:tc>
        <w:tc>
          <w:tcPr>
            <w:tcW w:w="736" w:type="dxa"/>
            <w:tcBorders>
              <w:tl2br w:val="nil"/>
              <w:tr2bl w:val="nil"/>
            </w:tcBorders>
            <w:vAlign w:val="center"/>
          </w:tcPr>
          <w:p>
            <w:pPr>
              <w:rPr>
                <w:b w:val="0"/>
                <w:bCs w:val="0"/>
              </w:rPr>
            </w:pPr>
          </w:p>
        </w:tc>
        <w:tc>
          <w:tcPr>
            <w:tcW w:w="2196" w:type="dxa"/>
            <w:tcBorders>
              <w:tl2br w:val="nil"/>
              <w:tr2bl w:val="nil"/>
            </w:tcBorders>
            <w:vAlign w:val="center"/>
          </w:tcPr>
          <w:p>
            <w:pPr>
              <w:rPr>
                <w:b w:val="0"/>
                <w:bCs w:val="0"/>
              </w:rPr>
            </w:pPr>
          </w:p>
        </w:tc>
        <w:tc>
          <w:tcPr>
            <w:tcW w:w="1036" w:type="dxa"/>
            <w:tcBorders>
              <w:tl2br w:val="nil"/>
              <w:tr2bl w:val="nil"/>
            </w:tcBorders>
            <w:vAlign w:val="center"/>
          </w:tcPr>
          <w:p>
            <w:pPr>
              <w:rPr>
                <w:b w:val="0"/>
                <w:bCs w:val="0"/>
              </w:rPr>
            </w:pPr>
          </w:p>
        </w:tc>
        <w:tc>
          <w:tcPr>
            <w:tcW w:w="932" w:type="dxa"/>
            <w:tcBorders>
              <w:tl2br w:val="nil"/>
              <w:tr2bl w:val="nil"/>
            </w:tcBorders>
            <w:vAlign w:val="center"/>
          </w:tcPr>
          <w:p>
            <w:pPr>
              <w:rPr>
                <w:b w:val="0"/>
                <w:bCs w:val="0"/>
              </w:rPr>
            </w:pPr>
          </w:p>
        </w:tc>
        <w:tc>
          <w:tcPr>
            <w:tcW w:w="850" w:type="dxa"/>
            <w:tcBorders>
              <w:tl2br w:val="nil"/>
              <w:tr2bl w:val="nil"/>
            </w:tcBorders>
            <w:vAlign w:val="center"/>
          </w:tcPr>
          <w:p>
            <w:pPr>
              <w:rPr>
                <w:b w:val="0"/>
                <w:bCs w:val="0"/>
              </w:rPr>
            </w:pPr>
          </w:p>
        </w:tc>
        <w:tc>
          <w:tcPr>
            <w:tcW w:w="851" w:type="dxa"/>
            <w:tcBorders>
              <w:tl2br w:val="nil"/>
              <w:tr2bl w:val="nil"/>
            </w:tcBorders>
            <w:vAlign w:val="center"/>
          </w:tcPr>
          <w:p>
            <w:pPr>
              <w:rPr>
                <w:b w:val="0"/>
                <w:bCs w:val="0"/>
              </w:rPr>
            </w:pPr>
          </w:p>
        </w:tc>
        <w:tc>
          <w:tcPr>
            <w:tcW w:w="753" w:type="dxa"/>
            <w:tcBorders>
              <w:tl2br w:val="nil"/>
              <w:tr2bl w:val="nil"/>
            </w:tcBorders>
            <w:vAlign w:val="center"/>
          </w:tcPr>
          <w:p>
            <w:pPr>
              <w:rPr>
                <w:b w:val="0"/>
                <w:bCs w:val="0"/>
              </w:rPr>
            </w:pPr>
          </w:p>
        </w:tc>
        <w:tc>
          <w:tcPr>
            <w:tcW w:w="664" w:type="dxa"/>
            <w:tcBorders>
              <w:tl2br w:val="nil"/>
              <w:tr2bl w:val="nil"/>
            </w:tcBorders>
            <w:vAlign w:val="center"/>
          </w:tcPr>
          <w:p>
            <w:pPr>
              <w:rPr>
                <w:b w:val="0"/>
                <w:bCs w:val="0"/>
              </w:rPr>
            </w:pPr>
          </w:p>
        </w:tc>
        <w:tc>
          <w:tcPr>
            <w:tcW w:w="709" w:type="dxa"/>
            <w:tcBorders>
              <w:tl2br w:val="nil"/>
              <w:tr2bl w:val="nil"/>
            </w:tcBorders>
            <w:vAlign w:val="center"/>
          </w:tcPr>
          <w:p>
            <w:pPr>
              <w:snapToGrid w:val="0"/>
              <w:rPr>
                <w:b w:val="0"/>
                <w:bCs w:val="0"/>
              </w:rPr>
            </w:pPr>
          </w:p>
          <w:p>
            <w:pPr>
              <w:rPr>
                <w:b w:val="0"/>
                <w:bCs w:val="0"/>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8"/>
        </w:rPr>
      </w:pPr>
      <w:r>
        <w:rPr>
          <w:rFonts w:hint="default" w:ascii="Times New Roman" w:hAnsi="Times New Roman" w:cs="Times New Roman" w:eastAsiaTheme="minorEastAsia"/>
          <w:sz w:val="24"/>
          <w:szCs w:val="28"/>
        </w:rPr>
        <w:t>注：人文社科类参考评审文件附件1-4填写，自然科学类参考附件1-5填写，项目等级：</w:t>
      </w:r>
      <w:r>
        <w:rPr>
          <w:rFonts w:hint="default" w:ascii="Times New Roman" w:hAnsi="Times New Roman" w:cs="Times New Roman" w:eastAsiaTheme="minorEastAsia"/>
          <w:b w:val="0"/>
          <w:bCs w:val="0"/>
          <w:sz w:val="24"/>
          <w:szCs w:val="28"/>
        </w:rPr>
        <w:t>可计分类</w:t>
      </w:r>
      <w:r>
        <w:rPr>
          <w:rFonts w:hint="default" w:ascii="Times New Roman" w:hAnsi="Times New Roman" w:cs="Times New Roman" w:eastAsiaTheme="minorEastAsia"/>
          <w:sz w:val="24"/>
          <w:szCs w:val="28"/>
        </w:rPr>
        <w:t>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24" w:hRule="atLeast"/>
        </w:trPr>
        <w:tc>
          <w:tcPr>
            <w:tcW w:w="602" w:type="dxa"/>
            <w:tcBorders>
              <w:tl2br w:val="nil"/>
              <w:tr2bl w:val="nil"/>
            </w:tcBorders>
            <w:vAlign w:val="center"/>
          </w:tcPr>
          <w:p>
            <w:pPr>
              <w:jc w:val="center"/>
              <w:rPr>
                <w:rFonts w:eastAsia="宋体"/>
                <w:b/>
                <w:bCs/>
              </w:rPr>
            </w:pPr>
            <w:r>
              <w:rPr>
                <w:rFonts w:hint="eastAsia" w:eastAsia="宋体"/>
                <w:b/>
                <w:bCs/>
              </w:rPr>
              <w:t>类别</w:t>
            </w:r>
          </w:p>
        </w:tc>
        <w:tc>
          <w:tcPr>
            <w:tcW w:w="450" w:type="dxa"/>
            <w:tcBorders>
              <w:bottom w:val="single" w:color="auto" w:sz="4" w:space="0"/>
              <w:tl2br w:val="nil"/>
              <w:tr2bl w:val="nil"/>
            </w:tcBorders>
            <w:vAlign w:val="center"/>
          </w:tcPr>
          <w:p>
            <w:pPr>
              <w:jc w:val="center"/>
              <w:rPr>
                <w:rFonts w:eastAsia="宋体"/>
                <w:b/>
                <w:bCs/>
              </w:rPr>
            </w:pPr>
            <w:r>
              <w:rPr>
                <w:rFonts w:hint="eastAsia"/>
                <w:b/>
                <w:bCs/>
              </w:rPr>
              <w:t>序号</w:t>
            </w:r>
          </w:p>
        </w:tc>
        <w:tc>
          <w:tcPr>
            <w:tcW w:w="750" w:type="dxa"/>
            <w:tcBorders>
              <w:bottom w:val="single" w:color="auto" w:sz="4" w:space="0"/>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bottom w:val="single" w:color="auto" w:sz="4" w:space="0"/>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bottom w:val="single" w:color="auto" w:sz="4" w:space="0"/>
              <w:tl2br w:val="nil"/>
              <w:tr2bl w:val="nil"/>
            </w:tcBorders>
            <w:vAlign w:val="center"/>
          </w:tcPr>
          <w:p>
            <w:pPr>
              <w:widowControl/>
              <w:jc w:val="center"/>
              <w:rPr>
                <w:rFonts w:hint="eastAsia" w:ascii="宋体" w:hAnsi="宋体" w:cs="Arial"/>
                <w:b/>
                <w:bCs/>
                <w:kern w:val="0"/>
                <w:szCs w:val="21"/>
              </w:rPr>
            </w:pPr>
            <w:r>
              <w:rPr>
                <w:rFonts w:hint="eastAsia" w:ascii="宋体" w:hAnsi="宋体" w:cs="Arial"/>
                <w:b/>
                <w:bCs/>
                <w:kern w:val="0"/>
                <w:szCs w:val="21"/>
              </w:rPr>
              <w:t>刊物名称，</w:t>
            </w:r>
          </w:p>
          <w:p>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bottom w:val="single" w:color="auto" w:sz="4" w:space="0"/>
              <w:tl2br w:val="nil"/>
              <w:tr2bl w:val="nil"/>
            </w:tcBorders>
            <w:vAlign w:val="center"/>
          </w:tcPr>
          <w:p>
            <w:pPr>
              <w:widowControl/>
              <w:jc w:val="center"/>
              <w:rPr>
                <w:rFonts w:eastAsia="宋体"/>
                <w:b/>
                <w:bCs/>
              </w:rPr>
            </w:pPr>
            <w:r>
              <w:rPr>
                <w:rFonts w:hint="eastAsia" w:eastAsia="宋体"/>
                <w:b/>
                <w:bCs/>
              </w:rPr>
              <w:t>个人占比</w:t>
            </w:r>
          </w:p>
        </w:tc>
        <w:tc>
          <w:tcPr>
            <w:tcW w:w="923" w:type="dxa"/>
            <w:tcBorders>
              <w:bottom w:val="single" w:color="auto" w:sz="4" w:space="0"/>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bottom w:val="single" w:color="auto" w:sz="4" w:space="0"/>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bottom w:val="single" w:color="auto" w:sz="4" w:space="0"/>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right w:val="single" w:color="auto" w:sz="4" w:space="0"/>
              <w:tl2br w:val="nil"/>
              <w:tr2bl w:val="nil"/>
            </w:tcBorders>
            <w:vAlign w:val="center"/>
          </w:tcPr>
          <w:p>
            <w:pPr>
              <w:jc w:val="center"/>
            </w:pPr>
            <w:r>
              <w:rPr>
                <w:rFonts w:hint="eastAsia"/>
                <w:b/>
                <w:bCs/>
              </w:rPr>
              <w:t>可计分</w:t>
            </w: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基于模拟电荷法的微间隙场增强因子研究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电子学报, 2016,4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(44):1003-1008</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短间隙短路放电的场增强因子研究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真空科学与技术学报, 2015,9(35):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1035-1040</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短间隙的击穿及其短路放电特性研究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电工电能新技术, 2016,4(35):30-34</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IEC火花试验装置的电容短路放电特性数学仿真分析</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电工电能新技术, 2014</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33(2): 29-34</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rPr>
              <w:t>Synchronization of second-order Kuramoto networks from the perspective of edge dynamics</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rPr>
              <w:t>Control Theory and Technology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21(4), 580-590</w:t>
            </w: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p>
            <w:pPr>
              <w:widowControl/>
              <w:jc w:val="center"/>
              <w:rPr>
                <w:rFonts w:hint="default" w:ascii="Times New Roman" w:hAnsi="Times New Roman" w:cs="Times New Roman"/>
                <w:b w:val="0"/>
                <w:bCs w:val="0"/>
              </w:rPr>
            </w:pPr>
          </w:p>
          <w:p>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rPr>
              <w:t>Numerical simulation for energy and exergy analysis of a novel turbulator in a heat recovery system filled with hybrid nanofluid</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b w:val="0"/>
                <w:bCs w:val="0"/>
              </w:rPr>
            </w:pPr>
            <w:r>
              <w:rPr>
                <w:rFonts w:hint="default" w:ascii="Times New Roman" w:hAnsi="Times New Roman" w:cs="Times New Roman"/>
                <w:sz w:val="21"/>
                <w:szCs w:val="21"/>
              </w:rPr>
              <w:t>Engineering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Analysis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Boundary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Elements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152</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728-738</w:t>
            </w: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p>
            <w:pPr>
              <w:widowControl/>
              <w:jc w:val="center"/>
              <w:rPr>
                <w:b w:val="0"/>
                <w:bCs w:val="0"/>
              </w:rPr>
            </w:pPr>
          </w:p>
          <w:p>
            <w:pPr>
              <w:widowControl/>
              <w:jc w:val="center"/>
              <w:rPr>
                <w:rFonts w:hint="default"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8" w:hRule="atLeast"/>
        </w:trPr>
        <w:tc>
          <w:tcPr>
            <w:tcW w:w="602" w:type="dxa"/>
            <w:vMerge w:val="continue"/>
            <w:tcBorders>
              <w:bottom w:val="single" w:color="000000" w:sz="12" w:space="0"/>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219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2044"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831"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pPr>
              <w:jc w:val="center"/>
            </w:pPr>
            <w:r>
              <w:rPr>
                <w:rFonts w:hint="eastAsia"/>
                <w:b/>
                <w:bCs/>
              </w:rPr>
              <w:t>不可计分</w:t>
            </w:r>
          </w:p>
        </w:tc>
        <w:tc>
          <w:tcPr>
            <w:tcW w:w="450" w:type="dxa"/>
            <w:tcBorders>
              <w:top w:val="single" w:color="auto" w:sz="4" w:space="0"/>
            </w:tcBorders>
          </w:tcPr>
          <w:p>
            <w:pPr>
              <w:jc w:val="center"/>
              <w:rPr>
                <w:b w:val="0"/>
                <w:bCs w:val="0"/>
              </w:rPr>
            </w:pPr>
          </w:p>
        </w:tc>
        <w:tc>
          <w:tcPr>
            <w:tcW w:w="750" w:type="dxa"/>
            <w:tcBorders>
              <w:top w:val="single" w:color="auto" w:sz="4" w:space="0"/>
            </w:tcBorders>
          </w:tcPr>
          <w:p>
            <w:pPr>
              <w:widowControl/>
              <w:jc w:val="center"/>
              <w:rPr>
                <w:b w:val="0"/>
                <w:bCs w:val="0"/>
              </w:rPr>
            </w:pPr>
          </w:p>
        </w:tc>
        <w:tc>
          <w:tcPr>
            <w:tcW w:w="2190" w:type="dxa"/>
            <w:tcBorders>
              <w:top w:val="single" w:color="auto" w:sz="4" w:space="0"/>
            </w:tcBorders>
          </w:tcPr>
          <w:p>
            <w:pPr>
              <w:widowControl/>
              <w:jc w:val="center"/>
              <w:rPr>
                <w:b w:val="0"/>
                <w:bCs w:val="0"/>
              </w:rPr>
            </w:pPr>
          </w:p>
        </w:tc>
        <w:tc>
          <w:tcPr>
            <w:tcW w:w="2044" w:type="dxa"/>
            <w:tcBorders>
              <w:top w:val="single" w:color="auto" w:sz="4" w:space="0"/>
            </w:tcBorders>
          </w:tcPr>
          <w:p>
            <w:pPr>
              <w:widowControl/>
              <w:jc w:val="center"/>
              <w:rPr>
                <w:b w:val="0"/>
                <w:bCs w:val="0"/>
              </w:rPr>
            </w:pPr>
          </w:p>
        </w:tc>
        <w:tc>
          <w:tcPr>
            <w:tcW w:w="796" w:type="dxa"/>
            <w:tcBorders>
              <w:top w:val="single" w:color="auto" w:sz="4" w:space="0"/>
            </w:tcBorders>
          </w:tcPr>
          <w:p>
            <w:pPr>
              <w:widowControl/>
              <w:jc w:val="center"/>
              <w:rPr>
                <w:b w:val="0"/>
                <w:bCs w:val="0"/>
              </w:rPr>
            </w:pPr>
          </w:p>
        </w:tc>
        <w:tc>
          <w:tcPr>
            <w:tcW w:w="923" w:type="dxa"/>
            <w:tcBorders>
              <w:top w:val="single" w:color="auto" w:sz="4" w:space="0"/>
            </w:tcBorders>
          </w:tcPr>
          <w:p>
            <w:pPr>
              <w:widowControl/>
              <w:jc w:val="center"/>
              <w:rPr>
                <w:b w:val="0"/>
                <w:bCs w:val="0"/>
              </w:rPr>
            </w:pPr>
          </w:p>
        </w:tc>
        <w:tc>
          <w:tcPr>
            <w:tcW w:w="1210" w:type="dxa"/>
            <w:tcBorders>
              <w:top w:val="single" w:color="auto" w:sz="4" w:space="0"/>
            </w:tcBorders>
          </w:tcPr>
          <w:p>
            <w:pPr>
              <w:widowControl/>
              <w:jc w:val="center"/>
              <w:rPr>
                <w:b w:val="0"/>
                <w:bCs w:val="0"/>
              </w:rPr>
            </w:pPr>
          </w:p>
        </w:tc>
        <w:tc>
          <w:tcPr>
            <w:tcW w:w="831" w:type="dxa"/>
            <w:tcBorders>
              <w:top w:val="single" w:color="auto" w:sz="4" w:space="0"/>
            </w:tcBorders>
          </w:tcPr>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pPr>
              <w:jc w:val="center"/>
            </w:pPr>
          </w:p>
        </w:tc>
        <w:tc>
          <w:tcPr>
            <w:tcW w:w="450" w:type="dxa"/>
            <w:tcBorders>
              <w:tl2br w:val="nil"/>
              <w:tr2bl w:val="nil"/>
            </w:tcBorders>
          </w:tcPr>
          <w:p>
            <w:pPr>
              <w:jc w:val="center"/>
              <w:rPr>
                <w:b w:val="0"/>
                <w:bCs w:val="0"/>
              </w:rPr>
            </w:pPr>
          </w:p>
        </w:tc>
        <w:tc>
          <w:tcPr>
            <w:tcW w:w="750" w:type="dxa"/>
            <w:tcBorders>
              <w:tl2br w:val="nil"/>
              <w:tr2bl w:val="nil"/>
            </w:tcBorders>
          </w:tcPr>
          <w:p>
            <w:pPr>
              <w:widowControl/>
              <w:jc w:val="center"/>
              <w:rPr>
                <w:b w:val="0"/>
                <w:bCs w:val="0"/>
              </w:rPr>
            </w:pPr>
          </w:p>
        </w:tc>
        <w:tc>
          <w:tcPr>
            <w:tcW w:w="2190" w:type="dxa"/>
            <w:tcBorders>
              <w:tl2br w:val="nil"/>
              <w:tr2bl w:val="nil"/>
            </w:tcBorders>
          </w:tcPr>
          <w:p>
            <w:pPr>
              <w:widowControl/>
              <w:jc w:val="center"/>
              <w:rPr>
                <w:b w:val="0"/>
                <w:bCs w:val="0"/>
              </w:rPr>
            </w:pPr>
          </w:p>
        </w:tc>
        <w:tc>
          <w:tcPr>
            <w:tcW w:w="2044" w:type="dxa"/>
            <w:tcBorders>
              <w:tl2br w:val="nil"/>
              <w:tr2bl w:val="nil"/>
            </w:tcBorders>
          </w:tcPr>
          <w:p>
            <w:pPr>
              <w:widowControl/>
              <w:jc w:val="center"/>
              <w:rPr>
                <w:b w:val="0"/>
                <w:bCs w:val="0"/>
              </w:rPr>
            </w:pPr>
          </w:p>
        </w:tc>
        <w:tc>
          <w:tcPr>
            <w:tcW w:w="796" w:type="dxa"/>
            <w:tcBorders>
              <w:tl2br w:val="nil"/>
              <w:tr2bl w:val="nil"/>
            </w:tcBorders>
          </w:tcPr>
          <w:p>
            <w:pPr>
              <w:widowControl/>
              <w:jc w:val="center"/>
              <w:rPr>
                <w:b w:val="0"/>
                <w:bCs w:val="0"/>
              </w:rPr>
            </w:pPr>
          </w:p>
        </w:tc>
        <w:tc>
          <w:tcPr>
            <w:tcW w:w="923" w:type="dxa"/>
            <w:tcBorders>
              <w:tl2br w:val="nil"/>
              <w:tr2bl w:val="nil"/>
            </w:tcBorders>
          </w:tcPr>
          <w:p>
            <w:pPr>
              <w:widowControl/>
              <w:jc w:val="center"/>
              <w:rPr>
                <w:b w:val="0"/>
                <w:bCs w:val="0"/>
              </w:rPr>
            </w:pPr>
          </w:p>
        </w:tc>
        <w:tc>
          <w:tcPr>
            <w:tcW w:w="1210" w:type="dxa"/>
            <w:tcBorders>
              <w:tl2br w:val="nil"/>
              <w:tr2bl w:val="nil"/>
            </w:tcBorders>
          </w:tcPr>
          <w:p>
            <w:pPr>
              <w:widowControl/>
              <w:jc w:val="center"/>
              <w:rPr>
                <w:b w:val="0"/>
                <w:bCs w:val="0"/>
              </w:rPr>
            </w:pPr>
          </w:p>
        </w:tc>
        <w:tc>
          <w:tcPr>
            <w:tcW w:w="831" w:type="dxa"/>
            <w:tcBorders>
              <w:tl2br w:val="nil"/>
              <w:tr2bl w:val="nil"/>
            </w:tcBorders>
          </w:tcPr>
          <w:p>
            <w:pPr>
              <w:widowControl/>
              <w:snapToGrid w:val="0"/>
              <w:jc w:val="center"/>
              <w:rPr>
                <w:b w:val="0"/>
                <w:bCs w:val="0"/>
              </w:rPr>
            </w:pPr>
          </w:p>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pPr>
              <w:jc w:val="center"/>
            </w:pPr>
          </w:p>
        </w:tc>
        <w:tc>
          <w:tcPr>
            <w:tcW w:w="450" w:type="dxa"/>
            <w:tcBorders>
              <w:tl2br w:val="nil"/>
              <w:tr2bl w:val="nil"/>
            </w:tcBorders>
          </w:tcPr>
          <w:p>
            <w:pPr>
              <w:jc w:val="center"/>
              <w:rPr>
                <w:b w:val="0"/>
                <w:bCs w:val="0"/>
              </w:rPr>
            </w:pPr>
          </w:p>
        </w:tc>
        <w:tc>
          <w:tcPr>
            <w:tcW w:w="750" w:type="dxa"/>
            <w:tcBorders>
              <w:tl2br w:val="nil"/>
              <w:tr2bl w:val="nil"/>
            </w:tcBorders>
          </w:tcPr>
          <w:p>
            <w:pPr>
              <w:widowControl/>
              <w:jc w:val="center"/>
              <w:rPr>
                <w:b w:val="0"/>
                <w:bCs w:val="0"/>
              </w:rPr>
            </w:pPr>
          </w:p>
        </w:tc>
        <w:tc>
          <w:tcPr>
            <w:tcW w:w="2190" w:type="dxa"/>
            <w:tcBorders>
              <w:tl2br w:val="nil"/>
              <w:tr2bl w:val="nil"/>
            </w:tcBorders>
          </w:tcPr>
          <w:p>
            <w:pPr>
              <w:widowControl/>
              <w:jc w:val="center"/>
              <w:rPr>
                <w:b w:val="0"/>
                <w:bCs w:val="0"/>
              </w:rPr>
            </w:pPr>
          </w:p>
        </w:tc>
        <w:tc>
          <w:tcPr>
            <w:tcW w:w="2044" w:type="dxa"/>
            <w:tcBorders>
              <w:tl2br w:val="nil"/>
              <w:tr2bl w:val="nil"/>
            </w:tcBorders>
          </w:tcPr>
          <w:p>
            <w:pPr>
              <w:widowControl/>
              <w:jc w:val="center"/>
              <w:rPr>
                <w:b w:val="0"/>
                <w:bCs w:val="0"/>
              </w:rPr>
            </w:pPr>
          </w:p>
        </w:tc>
        <w:tc>
          <w:tcPr>
            <w:tcW w:w="796" w:type="dxa"/>
            <w:tcBorders>
              <w:tl2br w:val="nil"/>
              <w:tr2bl w:val="nil"/>
            </w:tcBorders>
          </w:tcPr>
          <w:p>
            <w:pPr>
              <w:widowControl/>
              <w:jc w:val="center"/>
              <w:rPr>
                <w:b w:val="0"/>
                <w:bCs w:val="0"/>
              </w:rPr>
            </w:pPr>
          </w:p>
        </w:tc>
        <w:tc>
          <w:tcPr>
            <w:tcW w:w="923" w:type="dxa"/>
            <w:tcBorders>
              <w:tl2br w:val="nil"/>
              <w:tr2bl w:val="nil"/>
            </w:tcBorders>
          </w:tcPr>
          <w:p>
            <w:pPr>
              <w:widowControl/>
              <w:jc w:val="center"/>
              <w:rPr>
                <w:b w:val="0"/>
                <w:bCs w:val="0"/>
              </w:rPr>
            </w:pPr>
          </w:p>
        </w:tc>
        <w:tc>
          <w:tcPr>
            <w:tcW w:w="1210" w:type="dxa"/>
            <w:tcBorders>
              <w:tl2br w:val="nil"/>
              <w:tr2bl w:val="nil"/>
            </w:tcBorders>
          </w:tcPr>
          <w:p>
            <w:pPr>
              <w:widowControl/>
              <w:jc w:val="center"/>
              <w:rPr>
                <w:b w:val="0"/>
                <w:bCs w:val="0"/>
              </w:rPr>
            </w:pPr>
          </w:p>
        </w:tc>
        <w:tc>
          <w:tcPr>
            <w:tcW w:w="831" w:type="dxa"/>
            <w:tcBorders>
              <w:tl2br w:val="nil"/>
              <w:tr2bl w:val="nil"/>
            </w:tcBorders>
          </w:tcPr>
          <w:p>
            <w:pPr>
              <w:widowControl/>
              <w:snapToGrid w:val="0"/>
              <w:jc w:val="center"/>
              <w:rPr>
                <w:b w:val="0"/>
                <w:bCs w:val="0"/>
              </w:rPr>
            </w:pPr>
          </w:p>
          <w:p>
            <w:pPr>
              <w:widowControl/>
              <w:jc w:val="center"/>
              <w:rPr>
                <w:b w:val="0"/>
                <w:bCs w:val="0"/>
              </w:rPr>
            </w:pPr>
          </w:p>
        </w:tc>
      </w:tr>
    </w:tbl>
    <w:p>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注：人文社科类参考评审文件附件1-4填写，自然科学类参考附件1-5填写，刊物级别：</w:t>
      </w:r>
      <w:r>
        <w:rPr>
          <w:rFonts w:hint="default" w:ascii="Times New Roman" w:hAnsi="Times New Roman" w:cs="Times New Roman" w:eastAsiaTheme="minorEastAsia"/>
          <w:b w:val="0"/>
          <w:bCs w:val="0"/>
          <w:sz w:val="24"/>
          <w:szCs w:val="24"/>
        </w:rPr>
        <w:t>可计分类</w:t>
      </w:r>
      <w:r>
        <w:rPr>
          <w:rFonts w:hint="default" w:ascii="Times New Roman" w:hAnsi="Times New Roman" w:cs="Times New Roman" w:eastAsiaTheme="minorEastAsia"/>
          <w:sz w:val="24"/>
          <w:szCs w:val="24"/>
        </w:rPr>
        <w:t>按A到F级填写，不可计分类为G级。</w:t>
      </w:r>
    </w:p>
    <w:p>
      <w:pPr>
        <w:widowControl/>
        <w:ind w:firstLine="420" w:firstLineChars="200"/>
      </w:pP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序号</w:t>
            </w:r>
          </w:p>
        </w:tc>
        <w:tc>
          <w:tcPr>
            <w:tcW w:w="885" w:type="dxa"/>
            <w:tcBorders>
              <w:tl2br w:val="nil"/>
              <w:tr2bl w:val="nil"/>
            </w:tcBorders>
            <w:vAlign w:val="center"/>
          </w:tcPr>
          <w:p>
            <w:pPr>
              <w:widowControl/>
              <w:jc w:val="center"/>
              <w:rPr>
                <w:rFonts w:hint="default" w:ascii="Times New Roman" w:hAnsi="Times New Roman" w:cs="Times New Roman"/>
                <w:b/>
                <w:bCs/>
              </w:rPr>
            </w:pPr>
            <w:r>
              <w:rPr>
                <w:rFonts w:hint="default" w:ascii="Times New Roman" w:hAnsi="Times New Roman" w:cs="Times New Roman"/>
                <w:b/>
                <w:bCs/>
              </w:rPr>
              <w:t>著作</w:t>
            </w:r>
          </w:p>
          <w:p>
            <w:pPr>
              <w:widowControl/>
              <w:jc w:val="center"/>
              <w:rPr>
                <w:rFonts w:hint="default" w:ascii="Times New Roman" w:hAnsi="Times New Roman" w:cs="Times New Roman"/>
                <w:b/>
                <w:bCs/>
              </w:rPr>
            </w:pPr>
            <w:r>
              <w:rPr>
                <w:rFonts w:hint="default" w:ascii="Times New Roman" w:hAnsi="Times New Roman" w:cs="Times New Roman"/>
                <w:b/>
                <w:bCs/>
              </w:rPr>
              <w:t>等级</w:t>
            </w:r>
          </w:p>
        </w:tc>
        <w:tc>
          <w:tcPr>
            <w:tcW w:w="1695" w:type="dxa"/>
            <w:tcBorders>
              <w:tl2br w:val="nil"/>
              <w:tr2bl w:val="nil"/>
            </w:tcBorders>
            <w:vAlign w:val="center"/>
          </w:tcPr>
          <w:p>
            <w:pPr>
              <w:widowControl/>
              <w:jc w:val="center"/>
              <w:rPr>
                <w:rFonts w:hint="default" w:ascii="Times New Roman" w:hAnsi="Times New Roman" w:eastAsia="宋体" w:cs="Times New Roman"/>
                <w:b/>
                <w:bCs/>
              </w:rPr>
            </w:pPr>
            <w:r>
              <w:rPr>
                <w:rFonts w:hint="default" w:ascii="Times New Roman" w:hAnsi="Times New Roman" w:cs="Times New Roman"/>
                <w:b/>
                <w:bCs/>
              </w:rPr>
              <w:t>成果名称</w:t>
            </w:r>
          </w:p>
        </w:tc>
        <w:tc>
          <w:tcPr>
            <w:tcW w:w="1020" w:type="dxa"/>
            <w:tcBorders>
              <w:tl2br w:val="nil"/>
              <w:tr2bl w:val="nil"/>
            </w:tcBorders>
            <w:vAlign w:val="center"/>
          </w:tcPr>
          <w:p>
            <w:pPr>
              <w:widowControl/>
              <w:rPr>
                <w:rFonts w:hint="default" w:ascii="Times New Roman" w:hAnsi="Times New Roman" w:cs="Times New Roman"/>
                <w:b/>
                <w:bCs/>
              </w:rPr>
            </w:pPr>
            <w:r>
              <w:rPr>
                <w:rFonts w:hint="default" w:ascii="Times New Roman" w:hAnsi="Times New Roman" w:cs="Times New Roman"/>
                <w:b/>
                <w:bCs/>
              </w:rPr>
              <w:t>合（独）著译及排名</w:t>
            </w:r>
          </w:p>
        </w:tc>
        <w:tc>
          <w:tcPr>
            <w:tcW w:w="1110"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出版社和出版年月</w:t>
            </w:r>
          </w:p>
        </w:tc>
        <w:tc>
          <w:tcPr>
            <w:tcW w:w="730"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CIP核字号</w:t>
            </w:r>
          </w:p>
        </w:tc>
        <w:tc>
          <w:tcPr>
            <w:tcW w:w="1100" w:type="dxa"/>
            <w:tcBorders>
              <w:tl2br w:val="nil"/>
              <w:tr2bl w:val="nil"/>
            </w:tcBorders>
            <w:vAlign w:val="center"/>
          </w:tcPr>
          <w:p>
            <w:pPr>
              <w:widowControl/>
              <w:jc w:val="center"/>
              <w:rPr>
                <w:rFonts w:hint="default" w:ascii="Times New Roman" w:hAnsi="Times New Roman" w:cs="Times New Roman"/>
                <w:b/>
                <w:bCs/>
              </w:rPr>
            </w:pPr>
            <w:r>
              <w:rPr>
                <w:rFonts w:hint="default" w:ascii="Times New Roman" w:hAnsi="Times New Roman" w:cs="Times New Roman"/>
                <w:b/>
                <w:bCs/>
              </w:rPr>
              <w:t>总字数</w:t>
            </w:r>
          </w:p>
          <w:p>
            <w:pPr>
              <w:widowControl/>
              <w:jc w:val="center"/>
              <w:rPr>
                <w:rFonts w:hint="default" w:ascii="Times New Roman" w:hAnsi="Times New Roman" w:cs="Times New Roman"/>
                <w:b/>
                <w:bCs/>
              </w:rPr>
            </w:pPr>
            <w:r>
              <w:rPr>
                <w:rFonts w:hint="default" w:ascii="Times New Roman" w:hAnsi="Times New Roman" w:cs="Times New Roman"/>
                <w:b/>
                <w:bCs/>
                <w:sz w:val="18"/>
                <w:szCs w:val="18"/>
              </w:rPr>
              <w:t>（万字）</w:t>
            </w:r>
          </w:p>
        </w:tc>
        <w:tc>
          <w:tcPr>
            <w:tcW w:w="860" w:type="dxa"/>
            <w:tcBorders>
              <w:tl2br w:val="nil"/>
              <w:tr2bl w:val="nil"/>
            </w:tcBorders>
            <w:vAlign w:val="center"/>
          </w:tcPr>
          <w:p>
            <w:pPr>
              <w:widowControl/>
              <w:rPr>
                <w:rFonts w:hint="default" w:ascii="Times New Roman" w:hAnsi="Times New Roman" w:cs="Times New Roman"/>
                <w:b/>
                <w:bCs/>
              </w:rPr>
            </w:pPr>
            <w:r>
              <w:rPr>
                <w:rFonts w:hint="default" w:ascii="Times New Roman" w:hAnsi="Times New Roman" w:cs="Times New Roman"/>
                <w:b/>
                <w:bCs/>
              </w:rPr>
              <w:t>个人撰</w:t>
            </w:r>
          </w:p>
          <w:p>
            <w:pPr>
              <w:widowControl/>
              <w:rPr>
                <w:rFonts w:hint="default" w:ascii="Times New Roman" w:hAnsi="Times New Roman" w:eastAsia="宋体" w:cs="Times New Roman"/>
                <w:b/>
                <w:bCs/>
              </w:rPr>
            </w:pPr>
            <w:r>
              <w:rPr>
                <w:rFonts w:hint="default" w:ascii="Times New Roman" w:hAnsi="Times New Roman" w:cs="Times New Roman"/>
                <w:b/>
                <w:bCs/>
              </w:rPr>
              <w:t>写字数</w:t>
            </w:r>
            <w:r>
              <w:rPr>
                <w:rFonts w:hint="default" w:ascii="Times New Roman" w:hAnsi="Times New Roman" w:cs="Times New Roman"/>
                <w:b/>
                <w:bCs/>
                <w:sz w:val="18"/>
                <w:szCs w:val="18"/>
              </w:rPr>
              <w:t>（万字）</w:t>
            </w:r>
          </w:p>
        </w:tc>
        <w:tc>
          <w:tcPr>
            <w:tcW w:w="1035"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检索页</w:t>
            </w:r>
            <w:r>
              <w:rPr>
                <w:rFonts w:hint="default" w:ascii="Times New Roman" w:hAnsi="Times New Roman" w:cs="Times New Roman"/>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885" w:type="dxa"/>
            <w:tcBorders>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tl2br w:val="nil"/>
              <w:tr2bl w:val="nil"/>
            </w:tcBorders>
            <w:vAlign w:val="center"/>
          </w:tcPr>
          <w:p>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本安电路的分析设计及其计算机评价</w:t>
            </w:r>
          </w:p>
        </w:tc>
        <w:tc>
          <w:tcPr>
            <w:tcW w:w="1020" w:type="dxa"/>
            <w:tcBorders>
              <w:tl2br w:val="nil"/>
              <w:tr2bl w:val="nil"/>
            </w:tcBorders>
            <w:vAlign w:val="center"/>
          </w:tcPr>
          <w:p>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pPr>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tl2br w:val="nil"/>
              <w:tr2bl w:val="nil"/>
            </w:tcBorders>
            <w:vAlign w:val="center"/>
          </w:tcPr>
          <w:p>
            <w:pPr>
              <w:jc w:val="center"/>
              <w:rPr>
                <w:rFonts w:hint="default" w:ascii="Times New Roman" w:hAnsi="Times New Roman" w:cs="Times New Roman"/>
                <w:lang w:val="en-US"/>
              </w:rPr>
            </w:pPr>
            <w:r>
              <w:rPr>
                <w:rFonts w:hint="default" w:ascii="Times New Roman" w:hAnsi="Times New Roman" w:cs="Times New Roman"/>
                <w:sz w:val="21"/>
                <w:szCs w:val="21"/>
                <w:lang w:val="en-US" w:eastAsia="zh-CN"/>
              </w:rPr>
              <w:t>吉林大学出版社，2020</w:t>
            </w:r>
            <w:r>
              <w:rPr>
                <w:rFonts w:hint="eastAsia" w:ascii="Times New Roman" w:hAnsi="Times New Roman" w:cs="Times New Roman"/>
                <w:sz w:val="21"/>
                <w:szCs w:val="21"/>
                <w:lang w:val="en-US" w:eastAsia="zh-CN"/>
              </w:rPr>
              <w:t>.8</w:t>
            </w:r>
          </w:p>
        </w:tc>
        <w:tc>
          <w:tcPr>
            <w:tcW w:w="73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978-7-5692-7368-7</w:t>
            </w:r>
          </w:p>
        </w:tc>
        <w:tc>
          <w:tcPr>
            <w:tcW w:w="110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37</w:t>
            </w:r>
          </w:p>
        </w:tc>
        <w:tc>
          <w:tcPr>
            <w:tcW w:w="86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21</w:t>
            </w:r>
          </w:p>
        </w:tc>
        <w:tc>
          <w:tcPr>
            <w:tcW w:w="103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有</w:t>
            </w:r>
          </w:p>
        </w:tc>
        <w:tc>
          <w:tcPr>
            <w:tcW w:w="67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tl2br w:val="nil"/>
              <w:tr2bl w:val="nil"/>
            </w:tcBorders>
            <w:vAlign w:val="center"/>
          </w:tcPr>
          <w:p>
            <w:pPr>
              <w:widowControl/>
            </w:pPr>
          </w:p>
        </w:tc>
        <w:tc>
          <w:tcPr>
            <w:tcW w:w="467"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88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本安防爆开关电源设计概论</w:t>
            </w:r>
          </w:p>
        </w:tc>
        <w:tc>
          <w:tcPr>
            <w:tcW w:w="1020" w:type="dxa"/>
            <w:tcBorders>
              <w:bottom w:val="single" w:color="000000" w:sz="12" w:space="0"/>
              <w:tl2br w:val="nil"/>
              <w:tr2bl w:val="nil"/>
            </w:tcBorders>
            <w:vAlign w:val="center"/>
          </w:tcPr>
          <w:p>
            <w:pPr>
              <w:widowControl/>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中国书籍出版社</w:t>
            </w:r>
            <w:r>
              <w:rPr>
                <w:rFonts w:hint="eastAsia" w:ascii="Times New Roman" w:hAnsi="Times New Roman" w:cs="Times New Roman"/>
                <w:lang w:val="en-US" w:eastAsia="zh-CN"/>
              </w:rPr>
              <w:t>，2013.7</w:t>
            </w:r>
          </w:p>
        </w:tc>
        <w:tc>
          <w:tcPr>
            <w:tcW w:w="73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978-7-5068-3677-7</w:t>
            </w:r>
          </w:p>
        </w:tc>
        <w:tc>
          <w:tcPr>
            <w:tcW w:w="110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28.5</w:t>
            </w:r>
          </w:p>
        </w:tc>
        <w:tc>
          <w:tcPr>
            <w:tcW w:w="86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w:t>
            </w:r>
          </w:p>
        </w:tc>
        <w:tc>
          <w:tcPr>
            <w:tcW w:w="103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有</w:t>
            </w:r>
          </w:p>
        </w:tc>
        <w:tc>
          <w:tcPr>
            <w:tcW w:w="67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88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69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020" w:type="dxa"/>
            <w:tcBorders>
              <w:bottom w:val="single" w:color="000000" w:sz="12" w:space="0"/>
              <w:tl2br w:val="nil"/>
              <w:tr2bl w:val="nil"/>
            </w:tcBorders>
            <w:vAlign w:val="center"/>
          </w:tcPr>
          <w:p>
            <w:pPr>
              <w:widowControl/>
              <w:jc w:val="center"/>
              <w:rPr>
                <w:rFonts w:hint="default" w:ascii="Times New Roman" w:hAnsi="Times New Roman" w:cs="Times New Roman"/>
                <w:sz w:val="21"/>
                <w:szCs w:val="21"/>
                <w:lang w:val="en-US" w:eastAsia="zh-CN"/>
              </w:rPr>
            </w:pPr>
          </w:p>
        </w:tc>
        <w:tc>
          <w:tcPr>
            <w:tcW w:w="111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73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10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86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03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67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注：人文社科类参考评审文件附件1-4填写，自然科学类参考附件1-5填写，著作等级：可计分类按A-C填写，不可计分类为D级。</w:t>
      </w:r>
    </w:p>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9" w:hRule="atLeast"/>
        </w:trPr>
        <w:tc>
          <w:tcPr>
            <w:tcW w:w="10033" w:type="dxa"/>
            <w:gridSpan w:val="10"/>
            <w:tcBorders>
              <w:tl2br w:val="nil"/>
              <w:tr2bl w:val="nil"/>
            </w:tcBorders>
            <w:vAlign w:val="center"/>
          </w:tcPr>
          <w:p>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可计分</w:t>
            </w:r>
          </w:p>
        </w:tc>
        <w:tc>
          <w:tcPr>
            <w:tcW w:w="887"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281"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814"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200"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736"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105"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104"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750"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648" w:type="dxa"/>
            <w:tcBorders>
              <w:tl2br w:val="nil"/>
              <w:tr2bl w:val="nil"/>
            </w:tcBorders>
            <w:vAlign w:val="center"/>
          </w:tcPr>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887"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281"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814"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200"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736"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105"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104"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750"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648"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4" w:hRule="atLeast"/>
        </w:trPr>
        <w:tc>
          <w:tcPr>
            <w:tcW w:w="508" w:type="dxa"/>
            <w:vMerge w:val="restart"/>
            <w:tcBorders>
              <w:top w:val="single" w:color="000000" w:sz="12" w:space="0"/>
            </w:tcBorders>
            <w:vAlign w:val="center"/>
          </w:tcPr>
          <w:p>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不可计分</w:t>
            </w:r>
          </w:p>
        </w:tc>
        <w:tc>
          <w:tcPr>
            <w:tcW w:w="887" w:type="dxa"/>
            <w:tcBorders>
              <w:top w:val="single" w:color="000000" w:sz="12" w:space="0"/>
            </w:tcBorders>
          </w:tcPr>
          <w:p>
            <w:pPr>
              <w:overflowPunct w:val="0"/>
              <w:jc w:val="center"/>
              <w:rPr>
                <w:rFonts w:hint="default" w:ascii="Times New Roman" w:hAnsi="Times New Roman" w:cs="Times New Roman" w:eastAsiaTheme="minorEastAsia"/>
              </w:rPr>
            </w:pPr>
          </w:p>
        </w:tc>
        <w:tc>
          <w:tcPr>
            <w:tcW w:w="1281" w:type="dxa"/>
            <w:tcBorders>
              <w:top w:val="single" w:color="000000" w:sz="12" w:space="0"/>
            </w:tcBorders>
          </w:tcPr>
          <w:p>
            <w:pPr>
              <w:overflowPunct w:val="0"/>
              <w:jc w:val="center"/>
              <w:rPr>
                <w:rFonts w:hint="default" w:ascii="Times New Roman" w:hAnsi="Times New Roman" w:cs="Times New Roman" w:eastAsiaTheme="minorEastAsia"/>
              </w:rPr>
            </w:pPr>
          </w:p>
        </w:tc>
        <w:tc>
          <w:tcPr>
            <w:tcW w:w="1814" w:type="dxa"/>
            <w:tcBorders>
              <w:top w:val="single" w:color="000000" w:sz="12" w:space="0"/>
            </w:tcBorders>
          </w:tcPr>
          <w:p>
            <w:pPr>
              <w:overflowPunct w:val="0"/>
              <w:jc w:val="center"/>
              <w:rPr>
                <w:rFonts w:hint="default" w:ascii="Times New Roman" w:hAnsi="Times New Roman" w:cs="Times New Roman" w:eastAsiaTheme="minorEastAsia"/>
              </w:rPr>
            </w:pPr>
          </w:p>
        </w:tc>
        <w:tc>
          <w:tcPr>
            <w:tcW w:w="1200" w:type="dxa"/>
            <w:tcBorders>
              <w:top w:val="single" w:color="000000" w:sz="12" w:space="0"/>
            </w:tcBorders>
          </w:tcPr>
          <w:p>
            <w:pPr>
              <w:overflowPunct w:val="0"/>
              <w:jc w:val="center"/>
              <w:rPr>
                <w:rFonts w:hint="default" w:ascii="Times New Roman" w:hAnsi="Times New Roman" w:cs="Times New Roman" w:eastAsiaTheme="minorEastAsia"/>
              </w:rPr>
            </w:pPr>
          </w:p>
        </w:tc>
        <w:tc>
          <w:tcPr>
            <w:tcW w:w="736" w:type="dxa"/>
            <w:tcBorders>
              <w:top w:val="single" w:color="000000" w:sz="12" w:space="0"/>
            </w:tcBorders>
          </w:tcPr>
          <w:p>
            <w:pPr>
              <w:overflowPunct w:val="0"/>
              <w:jc w:val="center"/>
              <w:rPr>
                <w:rFonts w:hint="default" w:ascii="Times New Roman" w:hAnsi="Times New Roman" w:cs="Times New Roman" w:eastAsiaTheme="minorEastAsia"/>
              </w:rPr>
            </w:pPr>
          </w:p>
        </w:tc>
        <w:tc>
          <w:tcPr>
            <w:tcW w:w="1105" w:type="dxa"/>
            <w:tcBorders>
              <w:top w:val="single" w:color="000000" w:sz="12" w:space="0"/>
            </w:tcBorders>
          </w:tcPr>
          <w:p>
            <w:pPr>
              <w:overflowPunct w:val="0"/>
              <w:jc w:val="center"/>
              <w:rPr>
                <w:rFonts w:hint="default" w:ascii="Times New Roman" w:hAnsi="Times New Roman" w:cs="Times New Roman" w:eastAsiaTheme="minorEastAsia"/>
              </w:rPr>
            </w:pPr>
          </w:p>
        </w:tc>
        <w:tc>
          <w:tcPr>
            <w:tcW w:w="1104" w:type="dxa"/>
            <w:tcBorders>
              <w:top w:val="single" w:color="000000" w:sz="12" w:space="0"/>
            </w:tcBorders>
          </w:tcPr>
          <w:p>
            <w:pPr>
              <w:overflowPunct w:val="0"/>
              <w:jc w:val="center"/>
              <w:rPr>
                <w:rFonts w:hint="default" w:ascii="Times New Roman" w:hAnsi="Times New Roman" w:cs="Times New Roman" w:eastAsiaTheme="minorEastAsia"/>
              </w:rPr>
            </w:pPr>
          </w:p>
        </w:tc>
        <w:tc>
          <w:tcPr>
            <w:tcW w:w="750" w:type="dxa"/>
            <w:tcBorders>
              <w:top w:val="single" w:color="000000" w:sz="12" w:space="0"/>
            </w:tcBorders>
          </w:tcPr>
          <w:p>
            <w:pPr>
              <w:overflowPunct w:val="0"/>
              <w:jc w:val="center"/>
              <w:rPr>
                <w:rFonts w:hint="default" w:ascii="Times New Roman" w:hAnsi="Times New Roman" w:cs="Times New Roman" w:eastAsiaTheme="minorEastAsia"/>
              </w:rPr>
            </w:pPr>
          </w:p>
        </w:tc>
        <w:tc>
          <w:tcPr>
            <w:tcW w:w="648" w:type="dxa"/>
            <w:tcBorders>
              <w:top w:val="single" w:color="000000" w:sz="12" w:space="0"/>
            </w:tcBorders>
          </w:tcPr>
          <w:p>
            <w:pPr>
              <w:overflowPunct w:val="0"/>
              <w:snapToGrid w:val="0"/>
              <w:jc w:val="center"/>
              <w:rPr>
                <w:rFonts w:hint="default" w:ascii="Times New Roman" w:hAnsi="Times New Roman" w:cs="Times New Roman" w:eastAsiaTheme="minorEastAsia"/>
              </w:rPr>
            </w:pPr>
          </w:p>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rFonts w:hint="default" w:ascii="Times New Roman" w:hAnsi="Times New Roman" w:cs="Times New Roman" w:eastAsiaTheme="minorEastAsia"/>
                <w:b/>
                <w:bCs/>
              </w:rPr>
            </w:pPr>
          </w:p>
        </w:tc>
        <w:tc>
          <w:tcPr>
            <w:tcW w:w="887" w:type="dxa"/>
            <w:tcBorders>
              <w:tl2br w:val="nil"/>
              <w:tr2bl w:val="nil"/>
            </w:tcBorders>
          </w:tcPr>
          <w:p>
            <w:pPr>
              <w:overflowPunct w:val="0"/>
              <w:jc w:val="center"/>
              <w:rPr>
                <w:rFonts w:hint="default" w:ascii="Times New Roman" w:hAnsi="Times New Roman" w:cs="Times New Roman" w:eastAsiaTheme="minorEastAsia"/>
              </w:rPr>
            </w:pPr>
          </w:p>
        </w:tc>
        <w:tc>
          <w:tcPr>
            <w:tcW w:w="1281" w:type="dxa"/>
            <w:tcBorders>
              <w:tl2br w:val="nil"/>
              <w:tr2bl w:val="nil"/>
            </w:tcBorders>
          </w:tcPr>
          <w:p>
            <w:pPr>
              <w:overflowPunct w:val="0"/>
              <w:jc w:val="center"/>
              <w:rPr>
                <w:rFonts w:hint="default" w:ascii="Times New Roman" w:hAnsi="Times New Roman" w:cs="Times New Roman" w:eastAsiaTheme="minorEastAsia"/>
              </w:rPr>
            </w:pPr>
          </w:p>
        </w:tc>
        <w:tc>
          <w:tcPr>
            <w:tcW w:w="1814" w:type="dxa"/>
            <w:tcBorders>
              <w:tl2br w:val="nil"/>
              <w:tr2bl w:val="nil"/>
            </w:tcBorders>
          </w:tcPr>
          <w:p>
            <w:pPr>
              <w:overflowPunct w:val="0"/>
              <w:jc w:val="center"/>
              <w:rPr>
                <w:rFonts w:hint="default" w:ascii="Times New Roman" w:hAnsi="Times New Roman" w:cs="Times New Roman" w:eastAsiaTheme="minorEastAsia"/>
              </w:rPr>
            </w:pPr>
          </w:p>
        </w:tc>
        <w:tc>
          <w:tcPr>
            <w:tcW w:w="1200" w:type="dxa"/>
            <w:tcBorders>
              <w:tl2br w:val="nil"/>
              <w:tr2bl w:val="nil"/>
            </w:tcBorders>
          </w:tcPr>
          <w:p>
            <w:pPr>
              <w:overflowPunct w:val="0"/>
              <w:jc w:val="center"/>
              <w:rPr>
                <w:rFonts w:hint="default" w:ascii="Times New Roman" w:hAnsi="Times New Roman" w:cs="Times New Roman" w:eastAsiaTheme="minorEastAsia"/>
              </w:rPr>
            </w:pPr>
          </w:p>
        </w:tc>
        <w:tc>
          <w:tcPr>
            <w:tcW w:w="736" w:type="dxa"/>
            <w:tcBorders>
              <w:tl2br w:val="nil"/>
              <w:tr2bl w:val="nil"/>
            </w:tcBorders>
          </w:tcPr>
          <w:p>
            <w:pPr>
              <w:overflowPunct w:val="0"/>
              <w:jc w:val="center"/>
              <w:rPr>
                <w:rFonts w:hint="default" w:ascii="Times New Roman" w:hAnsi="Times New Roman" w:cs="Times New Roman" w:eastAsiaTheme="minorEastAsia"/>
              </w:rPr>
            </w:pPr>
          </w:p>
        </w:tc>
        <w:tc>
          <w:tcPr>
            <w:tcW w:w="1105" w:type="dxa"/>
            <w:tcBorders>
              <w:tl2br w:val="nil"/>
              <w:tr2bl w:val="nil"/>
            </w:tcBorders>
          </w:tcPr>
          <w:p>
            <w:pPr>
              <w:overflowPunct w:val="0"/>
              <w:jc w:val="center"/>
              <w:rPr>
                <w:rFonts w:hint="default" w:ascii="Times New Roman" w:hAnsi="Times New Roman" w:cs="Times New Roman" w:eastAsiaTheme="minorEastAsia"/>
              </w:rPr>
            </w:pPr>
          </w:p>
        </w:tc>
        <w:tc>
          <w:tcPr>
            <w:tcW w:w="1104" w:type="dxa"/>
            <w:tcBorders>
              <w:tl2br w:val="nil"/>
              <w:tr2bl w:val="nil"/>
            </w:tcBorders>
          </w:tcPr>
          <w:p>
            <w:pPr>
              <w:overflowPunct w:val="0"/>
              <w:jc w:val="center"/>
              <w:rPr>
                <w:rFonts w:hint="default" w:ascii="Times New Roman" w:hAnsi="Times New Roman" w:cs="Times New Roman" w:eastAsiaTheme="minorEastAsia"/>
              </w:rPr>
            </w:pPr>
          </w:p>
        </w:tc>
        <w:tc>
          <w:tcPr>
            <w:tcW w:w="750" w:type="dxa"/>
            <w:tcBorders>
              <w:tl2br w:val="nil"/>
              <w:tr2bl w:val="nil"/>
            </w:tcBorders>
          </w:tcPr>
          <w:p>
            <w:pPr>
              <w:overflowPunct w:val="0"/>
              <w:jc w:val="center"/>
              <w:rPr>
                <w:rFonts w:hint="default" w:ascii="Times New Roman" w:hAnsi="Times New Roman" w:cs="Times New Roman" w:eastAsiaTheme="minorEastAsia"/>
              </w:rPr>
            </w:pPr>
          </w:p>
        </w:tc>
        <w:tc>
          <w:tcPr>
            <w:tcW w:w="648" w:type="dxa"/>
            <w:tcBorders>
              <w:tl2br w:val="nil"/>
              <w:tr2bl w:val="nil"/>
            </w:tcBorders>
          </w:tcPr>
          <w:p>
            <w:pPr>
              <w:overflowPunct w:val="0"/>
              <w:snapToGrid w:val="0"/>
              <w:jc w:val="center"/>
              <w:rPr>
                <w:rFonts w:hint="default" w:ascii="Times New Roman" w:hAnsi="Times New Roman" w:cs="Times New Roman" w:eastAsiaTheme="minorEastAsia"/>
              </w:rPr>
            </w:pPr>
          </w:p>
          <w:p>
            <w:pPr>
              <w:overflowPunct w:val="0"/>
              <w:jc w:val="center"/>
              <w:rPr>
                <w:rFonts w:hint="default" w:ascii="Times New Roman" w:hAnsi="Times New Roman" w:cs="Times New Roman" w:eastAsiaTheme="minorEastAsia"/>
              </w:rPr>
            </w:pPr>
          </w:p>
        </w:tc>
      </w:tr>
    </w:tbl>
    <w:p>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88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序号</w:t>
            </w:r>
          </w:p>
        </w:tc>
        <w:tc>
          <w:tcPr>
            <w:tcW w:w="137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成果等级</w:t>
            </w:r>
          </w:p>
        </w:tc>
        <w:tc>
          <w:tcPr>
            <w:tcW w:w="2242"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成果名称</w:t>
            </w:r>
          </w:p>
        </w:tc>
        <w:tc>
          <w:tcPr>
            <w:tcW w:w="1964"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采纳部门</w:t>
            </w:r>
          </w:p>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（或领导批示）</w:t>
            </w:r>
          </w:p>
        </w:tc>
        <w:tc>
          <w:tcPr>
            <w:tcW w:w="1595"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采纳</w:t>
            </w:r>
            <w:r>
              <w:rPr>
                <w:rFonts w:hint="default" w:ascii="Times New Roman" w:hAnsi="Times New Roman" w:cs="Times New Roman" w:eastAsiaTheme="minorEastAsia"/>
                <w:b/>
                <w:bCs/>
              </w:rPr>
              <w:t>年月</w:t>
            </w:r>
          </w:p>
        </w:tc>
        <w:tc>
          <w:tcPr>
            <w:tcW w:w="737"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备注</w:t>
            </w:r>
          </w:p>
        </w:tc>
        <w:tc>
          <w:tcPr>
            <w:tcW w:w="681"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880" w:type="dxa"/>
            <w:tcBorders>
              <w:bottom w:val="single" w:color="000000" w:sz="12" w:space="0"/>
              <w:tl2br w:val="nil"/>
              <w:tr2bl w:val="nil"/>
            </w:tcBorders>
          </w:tcPr>
          <w:p>
            <w:pPr>
              <w:jc w:val="center"/>
              <w:rPr>
                <w:rFonts w:hint="default" w:ascii="Times New Roman" w:hAnsi="Times New Roman" w:cs="Times New Roman" w:eastAsiaTheme="minorEastAsia"/>
              </w:rPr>
            </w:pPr>
          </w:p>
        </w:tc>
        <w:tc>
          <w:tcPr>
            <w:tcW w:w="137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2242"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964"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595"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737"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681"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880" w:type="dxa"/>
            <w:tcBorders>
              <w:top w:val="single" w:color="000000" w:sz="12" w:space="0"/>
            </w:tcBorders>
          </w:tcPr>
          <w:p>
            <w:pPr>
              <w:jc w:val="center"/>
              <w:rPr>
                <w:rFonts w:hint="default" w:ascii="Times New Roman" w:hAnsi="Times New Roman" w:cs="Times New Roman" w:eastAsiaTheme="minorEastAsia"/>
              </w:rPr>
            </w:pPr>
          </w:p>
        </w:tc>
        <w:tc>
          <w:tcPr>
            <w:tcW w:w="1370" w:type="dxa"/>
            <w:tcBorders>
              <w:top w:val="single" w:color="000000" w:sz="12" w:space="0"/>
            </w:tcBorders>
          </w:tcPr>
          <w:p>
            <w:pPr>
              <w:widowControl/>
              <w:jc w:val="center"/>
              <w:rPr>
                <w:rFonts w:hint="default" w:ascii="Times New Roman" w:hAnsi="Times New Roman" w:cs="Times New Roman" w:eastAsiaTheme="minorEastAsia"/>
              </w:rPr>
            </w:pPr>
          </w:p>
        </w:tc>
        <w:tc>
          <w:tcPr>
            <w:tcW w:w="2242" w:type="dxa"/>
            <w:tcBorders>
              <w:top w:val="single" w:color="000000" w:sz="12" w:space="0"/>
            </w:tcBorders>
          </w:tcPr>
          <w:p>
            <w:pPr>
              <w:widowControl/>
              <w:jc w:val="center"/>
              <w:rPr>
                <w:rFonts w:hint="default" w:ascii="Times New Roman" w:hAnsi="Times New Roman" w:cs="Times New Roman" w:eastAsiaTheme="minorEastAsia"/>
              </w:rPr>
            </w:pPr>
          </w:p>
        </w:tc>
        <w:tc>
          <w:tcPr>
            <w:tcW w:w="1964" w:type="dxa"/>
            <w:tcBorders>
              <w:top w:val="single" w:color="000000" w:sz="12" w:space="0"/>
            </w:tcBorders>
          </w:tcPr>
          <w:p>
            <w:pPr>
              <w:widowControl/>
              <w:jc w:val="center"/>
              <w:rPr>
                <w:rFonts w:hint="default" w:ascii="Times New Roman" w:hAnsi="Times New Roman" w:cs="Times New Roman" w:eastAsiaTheme="minorEastAsia"/>
              </w:rPr>
            </w:pPr>
          </w:p>
        </w:tc>
        <w:tc>
          <w:tcPr>
            <w:tcW w:w="1595" w:type="dxa"/>
            <w:tcBorders>
              <w:top w:val="single" w:color="000000" w:sz="12" w:space="0"/>
            </w:tcBorders>
          </w:tcPr>
          <w:p>
            <w:pPr>
              <w:widowControl/>
              <w:jc w:val="center"/>
              <w:rPr>
                <w:rFonts w:hint="default" w:ascii="Times New Roman" w:hAnsi="Times New Roman" w:cs="Times New Roman" w:eastAsiaTheme="minorEastAsia"/>
              </w:rPr>
            </w:pPr>
          </w:p>
        </w:tc>
        <w:tc>
          <w:tcPr>
            <w:tcW w:w="737" w:type="dxa"/>
            <w:tcBorders>
              <w:top w:val="single" w:color="000000" w:sz="12" w:space="0"/>
            </w:tcBorders>
          </w:tcPr>
          <w:p>
            <w:pPr>
              <w:widowControl/>
              <w:jc w:val="center"/>
              <w:rPr>
                <w:rFonts w:hint="default" w:ascii="Times New Roman" w:hAnsi="Times New Roman" w:cs="Times New Roman" w:eastAsiaTheme="minorEastAsia"/>
              </w:rPr>
            </w:pPr>
          </w:p>
        </w:tc>
        <w:tc>
          <w:tcPr>
            <w:tcW w:w="681" w:type="dxa"/>
            <w:tcBorders>
              <w:top w:val="single" w:color="000000" w:sz="12" w:space="0"/>
            </w:tcBorders>
          </w:tcPr>
          <w:p>
            <w:pPr>
              <w:widowControl/>
              <w:snapToGrid w:val="0"/>
              <w:jc w:val="center"/>
              <w:rPr>
                <w:rFonts w:hint="default" w:ascii="Times New Roman" w:hAnsi="Times New Roman" w:cs="Times New Roman" w:eastAsiaTheme="minorEastAsia"/>
              </w:rPr>
            </w:pPr>
          </w:p>
          <w:p>
            <w:pPr>
              <w:widowControl/>
              <w:jc w:val="center"/>
              <w:rPr>
                <w:rFonts w:hint="default" w:ascii="Times New Roman" w:hAnsi="Times New Roman" w:cs="Times New Roman" w:eastAsia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注：人文社科类参考评审文件附件1-4填写，自然科学类参考附件1-5填写，成果等级：可计分类别按A-C填写，不可计分类为D级。</w:t>
      </w:r>
    </w:p>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1570" w:type="dxa"/>
            <w:tcBorders>
              <w:tl2br w:val="nil"/>
              <w:tr2bl w:val="nil"/>
            </w:tcBorders>
            <w:vAlign w:val="center"/>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序号</w:t>
            </w:r>
          </w:p>
        </w:tc>
        <w:tc>
          <w:tcPr>
            <w:tcW w:w="175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指标等级</w:t>
            </w:r>
          </w:p>
        </w:tc>
        <w:tc>
          <w:tcPr>
            <w:tcW w:w="113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获奖名称</w:t>
            </w:r>
          </w:p>
        </w:tc>
        <w:tc>
          <w:tcPr>
            <w:tcW w:w="200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获奖级别</w:t>
            </w:r>
          </w:p>
        </w:tc>
        <w:tc>
          <w:tcPr>
            <w:tcW w:w="140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举办单位</w:t>
            </w:r>
          </w:p>
        </w:tc>
        <w:tc>
          <w:tcPr>
            <w:tcW w:w="89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举办</w:t>
            </w:r>
            <w:r>
              <w:rPr>
                <w:rFonts w:hint="default" w:ascii="Times New Roman" w:hAnsi="Times New Roman" w:cs="Times New Roman" w:eastAsiaTheme="minorEastAsia"/>
                <w:b/>
                <w:bCs/>
              </w:rPr>
              <w:t>年月</w:t>
            </w:r>
          </w:p>
        </w:tc>
        <w:tc>
          <w:tcPr>
            <w:tcW w:w="751"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1570" w:type="dxa"/>
            <w:tcBorders>
              <w:bottom w:val="single" w:color="000000" w:sz="12" w:space="0"/>
              <w:tl2br w:val="nil"/>
              <w:tr2bl w:val="nil"/>
            </w:tcBorders>
          </w:tcPr>
          <w:p>
            <w:pPr>
              <w:jc w:val="center"/>
              <w:rPr>
                <w:rFonts w:hint="default" w:ascii="Times New Roman" w:hAnsi="Times New Roman" w:cs="Times New Roman" w:eastAsiaTheme="minorEastAsia"/>
              </w:rPr>
            </w:pPr>
          </w:p>
        </w:tc>
        <w:tc>
          <w:tcPr>
            <w:tcW w:w="175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13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rPr>
            </w:pPr>
          </w:p>
        </w:tc>
        <w:tc>
          <w:tcPr>
            <w:tcW w:w="200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40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89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751"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74" w:hRule="atLeast"/>
        </w:trPr>
        <w:tc>
          <w:tcPr>
            <w:tcW w:w="660" w:type="dxa"/>
            <w:tcBorders>
              <w:top w:val="single" w:color="000000" w:sz="12" w:space="0"/>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1570" w:type="dxa"/>
            <w:tcBorders>
              <w:top w:val="single" w:color="000000" w:sz="12" w:space="0"/>
            </w:tcBorders>
          </w:tcPr>
          <w:p>
            <w:pPr>
              <w:jc w:val="center"/>
              <w:rPr>
                <w:rFonts w:hint="default" w:ascii="Times New Roman" w:hAnsi="Times New Roman" w:cs="Times New Roman" w:eastAsiaTheme="minorEastAsia"/>
              </w:rPr>
            </w:pPr>
          </w:p>
        </w:tc>
        <w:tc>
          <w:tcPr>
            <w:tcW w:w="1750" w:type="dxa"/>
            <w:tcBorders>
              <w:top w:val="single" w:color="000000" w:sz="12" w:space="0"/>
            </w:tcBorders>
          </w:tcPr>
          <w:p>
            <w:pPr>
              <w:widowControl/>
              <w:jc w:val="center"/>
              <w:rPr>
                <w:rFonts w:hint="default" w:ascii="Times New Roman" w:hAnsi="Times New Roman" w:cs="Times New Roman" w:eastAsiaTheme="minorEastAsia"/>
              </w:rPr>
            </w:pPr>
          </w:p>
        </w:tc>
        <w:tc>
          <w:tcPr>
            <w:tcW w:w="1130" w:type="dxa"/>
            <w:tcBorders>
              <w:top w:val="single" w:color="000000" w:sz="12" w:space="0"/>
            </w:tcBorders>
            <w:vAlign w:val="center"/>
          </w:tcPr>
          <w:p>
            <w:pPr>
              <w:widowControl/>
              <w:jc w:val="center"/>
              <w:rPr>
                <w:rFonts w:hint="default" w:ascii="Times New Roman" w:hAnsi="Times New Roman" w:cs="Times New Roman" w:eastAsiaTheme="minorEastAsia"/>
              </w:rPr>
            </w:pPr>
          </w:p>
        </w:tc>
        <w:tc>
          <w:tcPr>
            <w:tcW w:w="2000" w:type="dxa"/>
            <w:tcBorders>
              <w:top w:val="single" w:color="000000" w:sz="12" w:space="0"/>
            </w:tcBorders>
          </w:tcPr>
          <w:p>
            <w:pPr>
              <w:widowControl/>
              <w:jc w:val="center"/>
              <w:rPr>
                <w:rFonts w:hint="default" w:ascii="Times New Roman" w:hAnsi="Times New Roman" w:cs="Times New Roman" w:eastAsiaTheme="minorEastAsia"/>
              </w:rPr>
            </w:pPr>
          </w:p>
        </w:tc>
        <w:tc>
          <w:tcPr>
            <w:tcW w:w="1400" w:type="dxa"/>
            <w:tcBorders>
              <w:top w:val="single" w:color="000000" w:sz="12" w:space="0"/>
            </w:tcBorders>
          </w:tcPr>
          <w:p>
            <w:pPr>
              <w:widowControl/>
              <w:jc w:val="center"/>
              <w:rPr>
                <w:rFonts w:hint="default" w:ascii="Times New Roman" w:hAnsi="Times New Roman" w:cs="Times New Roman" w:eastAsiaTheme="minorEastAsia"/>
              </w:rPr>
            </w:pPr>
          </w:p>
        </w:tc>
        <w:tc>
          <w:tcPr>
            <w:tcW w:w="890" w:type="dxa"/>
            <w:tcBorders>
              <w:top w:val="single" w:color="000000" w:sz="12" w:space="0"/>
            </w:tcBorders>
          </w:tcPr>
          <w:p>
            <w:pPr>
              <w:widowControl/>
              <w:jc w:val="center"/>
              <w:rPr>
                <w:rFonts w:hint="default" w:ascii="Times New Roman" w:hAnsi="Times New Roman" w:cs="Times New Roman" w:eastAsiaTheme="minorEastAsia"/>
              </w:rPr>
            </w:pPr>
          </w:p>
        </w:tc>
        <w:tc>
          <w:tcPr>
            <w:tcW w:w="751" w:type="dxa"/>
            <w:tcBorders>
              <w:top w:val="single" w:color="000000" w:sz="12" w:space="0"/>
            </w:tcBorders>
          </w:tcPr>
          <w:p>
            <w:pPr>
              <w:widowControl/>
              <w:snapToGrid w:val="0"/>
              <w:jc w:val="center"/>
              <w:rPr>
                <w:rFonts w:hint="default" w:ascii="Times New Roman" w:hAnsi="Times New Roman" w:cs="Times New Roman" w:eastAsiaTheme="minorEastAsia"/>
              </w:rPr>
            </w:pPr>
          </w:p>
          <w:p>
            <w:pPr>
              <w:widowControl/>
              <w:snapToGrid w:val="0"/>
              <w:jc w:val="center"/>
              <w:rPr>
                <w:rFonts w:hint="default" w:ascii="Times New Roman" w:hAnsi="Times New Roman" w:cs="Times New Roman" w:eastAsiaTheme="minorEastAsia"/>
              </w:rPr>
            </w:pPr>
          </w:p>
          <w:p>
            <w:pPr>
              <w:widowControl/>
              <w:jc w:val="center"/>
              <w:rPr>
                <w:rFonts w:hint="default" w:ascii="Times New Roman" w:hAnsi="Times New Roman" w:cs="Times New Roman" w:eastAsia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注：人文社科类参考附件1-4填写，指标等级：可计分类别按A-C填写，不可计分类别为D级。</w:t>
      </w: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bottom w:val="single" w:color="auto" w:sz="4" w:space="0"/>
              <w:tl2br w:val="nil"/>
              <w:tr2bl w:val="nil"/>
            </w:tcBorders>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手持式直流开关电源输出本安检测方法</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16 1 0712072.8</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19</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1</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发明</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default" w:ascii="Times New Roman" w:hAnsi="Times New Roman" w:cs="Times New Roman"/>
                <w:color w:val="auto"/>
                <w:sz w:val="21"/>
                <w:szCs w:val="21"/>
                <w:highlight w:val="none"/>
                <w:lang w:val="en-US" w:eastAsia="zh-CN"/>
              </w:rPr>
              <w:t>2019</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一种通过语音调光的</w:t>
            </w:r>
            <w:r>
              <w:rPr>
                <w:rFonts w:hint="default" w:ascii="Times New Roman" w:hAnsi="Times New Roman" w:cs="Times New Roman"/>
                <w:sz w:val="21"/>
                <w:szCs w:val="21"/>
                <w:lang w:val="en-US" w:eastAsia="zh-CN"/>
              </w:rPr>
              <w:t>LED灯具</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17 2 1245827.4</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18</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6</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2017</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具有光源自动追踪功能的监控装置</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13 2 0094939.X</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7</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2013</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pPr>
              <w:snapToGrid w:val="0"/>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注：自然科学类参考评审文件附件1-5填写，指标等级：可计分类按A-C填写，不可计分类为D级。</w:t>
      </w:r>
    </w:p>
    <w:p>
      <w:pPr>
        <w:widowControl/>
        <w:jc w:val="left"/>
        <w:rPr>
          <w:rFonts w:hint="eastAsia" w:asciiTheme="minorEastAsia" w:hAnsiTheme="minorEastAsia" w:eastAsia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pPr>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lang w:val="en-US" w:eastAsia="zh-CN"/>
              </w:rPr>
              <w:t>钟久明</w:t>
            </w:r>
          </w:p>
        </w:tc>
        <w:tc>
          <w:tcPr>
            <w:tcW w:w="1407" w:type="dxa"/>
            <w:vAlign w:val="center"/>
          </w:tcPr>
          <w:p>
            <w:pPr>
              <w:widowControl/>
              <w:jc w:val="center"/>
              <w:rPr>
                <w:rFonts w:asciiTheme="minorEastAsia" w:hAnsiTheme="minorEastAsia"/>
                <w:szCs w:val="21"/>
              </w:rPr>
            </w:pPr>
            <w:r>
              <w:rPr>
                <w:rFonts w:hint="eastAsia" w:ascii="Times New Roman" w:hAnsi="Times New Roman" w:cs="Times New Roman"/>
                <w:szCs w:val="21"/>
                <w:lang w:val="en-US" w:eastAsia="zh-CN"/>
              </w:rPr>
              <w:t>12</w:t>
            </w:r>
            <w:r>
              <w:rPr>
                <w:rFonts w:hint="default" w:ascii="Times New Roman" w:hAnsi="Times New Roman" w:cs="Times New Roman"/>
                <w:szCs w:val="21"/>
                <w:lang w:val="en-US" w:eastAsia="zh-CN"/>
              </w:rPr>
              <w:t>00</w:t>
            </w:r>
          </w:p>
        </w:tc>
        <w:tc>
          <w:tcPr>
            <w:tcW w:w="1830" w:type="dxa"/>
            <w:vAlign w:val="center"/>
          </w:tcPr>
          <w:p>
            <w:pPr>
              <w:widowControl/>
              <w:jc w:val="center"/>
              <w:rPr>
                <w:rFonts w:asciiTheme="minorEastAsia" w:hAnsiTheme="minorEastAsia"/>
                <w:szCs w:val="21"/>
              </w:rPr>
            </w:pPr>
            <w:r>
              <w:rPr>
                <w:rFonts w:hint="eastAsia" w:ascii="Times New Roman" w:hAnsi="Times New Roman" w:cs="Times New Roman"/>
                <w:szCs w:val="21"/>
                <w:lang w:val="en-US" w:eastAsia="zh-CN"/>
              </w:rPr>
              <w:t>0</w:t>
            </w:r>
          </w:p>
        </w:tc>
        <w:tc>
          <w:tcPr>
            <w:tcW w:w="1418" w:type="dxa"/>
            <w:vAlign w:val="center"/>
          </w:tcPr>
          <w:p>
            <w:pPr>
              <w:widowControl/>
              <w:jc w:val="center"/>
              <w:rPr>
                <w:rFonts w:asciiTheme="minorEastAsia" w:hAnsiTheme="minorEastAsia"/>
                <w:szCs w:val="21"/>
              </w:rPr>
            </w:pPr>
            <w:r>
              <w:rPr>
                <w:rFonts w:hint="default" w:ascii="Times New Roman" w:hAnsi="Times New Roman" w:cs="Times New Roman"/>
                <w:szCs w:val="21"/>
                <w:lang w:val="en-US" w:eastAsia="zh-CN"/>
              </w:rPr>
              <w:t>10</w:t>
            </w:r>
          </w:p>
        </w:tc>
        <w:tc>
          <w:tcPr>
            <w:tcW w:w="976" w:type="dxa"/>
            <w:vAlign w:val="center"/>
          </w:tcPr>
          <w:p>
            <w:pPr>
              <w:widowControl/>
              <w:jc w:val="center"/>
              <w:rPr>
                <w:rFonts w:asciiTheme="minorEastAsia" w:hAnsiTheme="minorEastAsia"/>
                <w:szCs w:val="21"/>
              </w:rPr>
            </w:pPr>
            <w:r>
              <w:rPr>
                <w:rFonts w:hint="eastAsia" w:ascii="Times New Roman" w:hAnsi="Times New Roman" w:cs="Times New Roman"/>
                <w:b/>
                <w:bCs/>
                <w:szCs w:val="21"/>
                <w:lang w:val="en-US" w:eastAsia="zh-CN"/>
              </w:rPr>
              <w:t>12</w:t>
            </w:r>
            <w:r>
              <w:rPr>
                <w:rFonts w:hint="default" w:ascii="Times New Roman" w:hAnsi="Times New Roman" w:cs="Times New Roman"/>
                <w:b/>
                <w:bCs/>
                <w:szCs w:val="21"/>
                <w:lang w:val="en-US" w:eastAsia="zh-CN"/>
              </w:rPr>
              <w:t>10</w:t>
            </w: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w:t>
            </w:r>
          </w:p>
        </w:tc>
        <w:tc>
          <w:tcPr>
            <w:tcW w:w="1559"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高校教师资格证</w:t>
            </w:r>
          </w:p>
        </w:tc>
        <w:tc>
          <w:tcPr>
            <w:tcW w:w="1601"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海南省教育厅</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准入类</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2</w:t>
            </w:r>
          </w:p>
        </w:tc>
        <w:tc>
          <w:tcPr>
            <w:tcW w:w="1559"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高压电工特种作业准入操作证</w:t>
            </w: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国家安监总局</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3</w:t>
            </w:r>
          </w:p>
        </w:tc>
        <w:tc>
          <w:tcPr>
            <w:tcW w:w="1559"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低压电工特种作业准入操作证</w:t>
            </w: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国家安监总局</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2" w:hRule="atLeast"/>
          <w:jc w:val="center"/>
        </w:trPr>
        <w:tc>
          <w:tcPr>
            <w:tcW w:w="534" w:type="dxa"/>
            <w:vAlign w:val="center"/>
          </w:tcPr>
          <w:p>
            <w:pPr>
              <w:widowControl/>
              <w:jc w:val="center"/>
              <w:rPr>
                <w:rFonts w:hint="default" w:ascii="Times New Roman" w:hAnsi="Times New Roman" w:cs="Times New Roman"/>
                <w:szCs w:val="21"/>
                <w:lang w:val="en-US" w:eastAsia="zh-CN"/>
              </w:rPr>
            </w:pPr>
          </w:p>
        </w:tc>
        <w:tc>
          <w:tcPr>
            <w:tcW w:w="1559" w:type="dxa"/>
            <w:vAlign w:val="center"/>
          </w:tcPr>
          <w:p>
            <w:pPr>
              <w:widowControl/>
              <w:jc w:val="center"/>
              <w:rPr>
                <w:rFonts w:hint="default" w:ascii="Times New Roman" w:hAnsi="Times New Roman" w:cs="Times New Roman"/>
                <w:szCs w:val="21"/>
                <w:lang w:val="en-US" w:eastAsia="zh-CN"/>
              </w:rPr>
            </w:pP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widowControl/>
              <w:jc w:val="center"/>
              <w:rPr>
                <w:rFonts w:hint="default" w:ascii="Times New Roman" w:hAnsi="Times New Roman" w:cs="Times New Roman"/>
                <w:szCs w:val="21"/>
                <w:lang w:val="en-US" w:eastAsia="zh-CN"/>
              </w:rPr>
            </w:pPr>
          </w:p>
        </w:tc>
        <w:tc>
          <w:tcPr>
            <w:tcW w:w="1232" w:type="dxa"/>
            <w:vAlign w:val="center"/>
          </w:tcPr>
          <w:p>
            <w:pPr>
              <w:widowControl/>
              <w:jc w:val="center"/>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szCs w:val="21"/>
                <w:lang w:val="en-US" w:eastAsia="zh-CN"/>
              </w:rPr>
            </w:pPr>
          </w:p>
        </w:tc>
      </w:tr>
    </w:tbl>
    <w:p>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Lines="50"/>
        <w:jc w:val="left"/>
        <w:textAlignment w:val="center"/>
        <w:rPr>
          <w:rFonts w:hint="default" w:ascii="Times New Roman" w:hAnsi="Times New Roman" w:cs="Times New Roman"/>
          <w:spacing w:val="2"/>
          <w:kern w:val="0"/>
          <w:szCs w:val="21"/>
        </w:rPr>
      </w:pPr>
      <w:r>
        <w:rPr>
          <w:rFonts w:hint="default" w:ascii="Times New Roman" w:hAnsi="Times New Roman" w:cs="Times New Roman"/>
          <w:kern w:val="0"/>
          <w:szCs w:val="21"/>
        </w:rPr>
        <w:t>注：</w:t>
      </w:r>
      <w:r>
        <w:rPr>
          <w:rFonts w:hint="default" w:ascii="Times New Roman" w:hAnsi="Times New Roman" w:cs="Times New Roman"/>
          <w:szCs w:val="21"/>
        </w:rPr>
        <w:t>参考评审文件附件1-7表2填写，</w:t>
      </w:r>
      <w:r>
        <w:rPr>
          <w:rFonts w:hint="default" w:ascii="Times New Roman" w:hAnsi="Times New Roman" w:cs="Times New Roman"/>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hint="default" w:ascii="Times New Roman" w:hAnsi="Times New Roman" w:cs="Times New Roman"/>
          <w:b/>
          <w:szCs w:val="21"/>
        </w:rPr>
      </w:pPr>
      <w:r>
        <w:rPr>
          <w:rFonts w:hint="default" w:ascii="Times New Roman" w:hAnsi="Times New Roman" w:cs="Times New Roman"/>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hint="default" w:ascii="Times New Roman" w:hAnsi="Times New Roman" w:cs="Times New Roman"/>
                <w:szCs w:val="21"/>
              </w:rPr>
            </w:pPr>
            <w:r>
              <w:rPr>
                <w:rFonts w:hint="default" w:ascii="Times New Roman" w:hAnsi="Times New Roman" w:cs="Times New Roman"/>
                <w:szCs w:val="21"/>
              </w:rPr>
              <w:t>指标说明</w:t>
            </w:r>
          </w:p>
        </w:tc>
        <w:tc>
          <w:tcPr>
            <w:tcW w:w="1842" w:type="dxa"/>
            <w:tcBorders>
              <w:right w:val="single" w:color="auto" w:sz="4" w:space="0"/>
            </w:tcBorders>
          </w:tcPr>
          <w:p>
            <w:pPr>
              <w:widowControl/>
              <w:jc w:val="center"/>
              <w:rPr>
                <w:rFonts w:hint="default" w:ascii="Times New Roman" w:hAnsi="Times New Roman" w:cs="Times New Roman"/>
                <w:szCs w:val="21"/>
              </w:rPr>
            </w:pPr>
            <w:r>
              <w:rPr>
                <w:rFonts w:hint="default" w:ascii="Times New Roman" w:hAnsi="Times New Roman" w:cs="Times New Roman"/>
                <w:szCs w:val="21"/>
              </w:rPr>
              <w:t>科类</w:t>
            </w:r>
          </w:p>
        </w:tc>
        <w:tc>
          <w:tcPr>
            <w:tcW w:w="1276" w:type="dxa"/>
            <w:tcBorders>
              <w:left w:val="single" w:color="auto" w:sz="4" w:space="0"/>
            </w:tcBorders>
          </w:tcPr>
          <w:p>
            <w:pPr>
              <w:widowControl/>
              <w:jc w:val="center"/>
              <w:rPr>
                <w:rFonts w:hint="default" w:ascii="Times New Roman" w:hAnsi="Times New Roman" w:cs="Times New Roman"/>
                <w:szCs w:val="21"/>
              </w:rPr>
            </w:pPr>
            <w:r>
              <w:rPr>
                <w:rFonts w:hint="default" w:ascii="Times New Roman" w:hAnsi="Times New Roman" w:cs="Times New Roman"/>
                <w:szCs w:val="21"/>
              </w:rPr>
              <w:t>金额</w:t>
            </w:r>
          </w:p>
        </w:tc>
        <w:tc>
          <w:tcPr>
            <w:tcW w:w="1134" w:type="dxa"/>
          </w:tcPr>
          <w:p>
            <w:pPr>
              <w:widowControl/>
              <w:jc w:val="center"/>
              <w:rPr>
                <w:rFonts w:hint="default" w:ascii="Times New Roman" w:hAnsi="Times New Roman" w:cs="Times New Roman"/>
                <w:szCs w:val="21"/>
              </w:rPr>
            </w:pPr>
            <w:r>
              <w:rPr>
                <w:rFonts w:hint="default" w:ascii="Times New Roman" w:hAnsi="Times New Roman" w:cs="Times New Roman"/>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hint="default" w:ascii="Times New Roman" w:hAnsi="Times New Roman" w:cs="Times New Roman"/>
                <w:szCs w:val="21"/>
              </w:rPr>
            </w:pPr>
            <w:r>
              <w:rPr>
                <w:rFonts w:hint="default"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vAlign w:val="top"/>
          </w:tcPr>
          <w:p>
            <w:pPr>
              <w:widowControl/>
              <w:jc w:val="left"/>
              <w:rPr>
                <w:rFonts w:hint="default" w:ascii="Times New Roman" w:hAnsi="Times New Roman" w:cs="Times New Roman"/>
                <w:szCs w:val="21"/>
              </w:rPr>
            </w:pPr>
            <w:r>
              <w:rPr>
                <w:rFonts w:hint="default" w:ascii="Times New Roman" w:hAnsi="Times New Roman" w:cs="Times New Roman"/>
                <w:szCs w:val="21"/>
                <w:lang w:val="en-US" w:eastAsia="zh-CN"/>
              </w:rPr>
              <w:t>大中小幼教研协作共同体项目</w:t>
            </w:r>
          </w:p>
        </w:tc>
        <w:tc>
          <w:tcPr>
            <w:tcW w:w="1276" w:type="dxa"/>
            <w:tcBorders>
              <w:lef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3万元</w:t>
            </w:r>
          </w:p>
        </w:tc>
        <w:tc>
          <w:tcPr>
            <w:tcW w:w="1134"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jc w:val="center"/>
        </w:trPr>
        <w:tc>
          <w:tcPr>
            <w:tcW w:w="5637" w:type="dxa"/>
          </w:tcPr>
          <w:p>
            <w:pPr>
              <w:widowControl/>
              <w:jc w:val="left"/>
              <w:rPr>
                <w:rFonts w:hint="default" w:ascii="Times New Roman" w:hAnsi="Times New Roman" w:cs="Times New Roman"/>
                <w:spacing w:val="2"/>
                <w:kern w:val="0"/>
                <w:szCs w:val="21"/>
              </w:rPr>
            </w:pPr>
          </w:p>
        </w:tc>
        <w:tc>
          <w:tcPr>
            <w:tcW w:w="1842" w:type="dxa"/>
            <w:tcBorders>
              <w:right w:val="single" w:color="auto" w:sz="4" w:space="0"/>
            </w:tcBorders>
            <w:vAlign w:val="top"/>
          </w:tcPr>
          <w:p>
            <w:pPr>
              <w:widowControl/>
              <w:jc w:val="left"/>
              <w:rPr>
                <w:rFonts w:hint="default" w:ascii="Times New Roman" w:hAnsi="Times New Roman" w:cs="Times New Roman"/>
                <w:szCs w:val="21"/>
                <w:lang w:val="en-US" w:eastAsia="zh-CN"/>
              </w:rPr>
            </w:pPr>
          </w:p>
        </w:tc>
        <w:tc>
          <w:tcPr>
            <w:tcW w:w="1276" w:type="dxa"/>
            <w:tcBorders>
              <w:lef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c>
          <w:tcPr>
            <w:tcW w:w="1134"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r>
    </w:tbl>
    <w:p>
      <w:pPr>
        <w:widowControl/>
        <w:jc w:val="center"/>
        <w:rPr>
          <w:rFonts w:asciiTheme="minorEastAsia" w:hAnsiTheme="minorEastAsia"/>
          <w:b/>
          <w:szCs w:val="21"/>
        </w:rPr>
      </w:pPr>
    </w:p>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 w:val="24"/>
          <w:szCs w:val="24"/>
        </w:rPr>
      </w:pPr>
      <w:r>
        <w:rPr>
          <w:rFonts w:hint="eastAsia" w:asciiTheme="minorEastAsia" w:hAnsiTheme="minorEastAsia"/>
          <w:b/>
          <w:sz w:val="24"/>
          <w:szCs w:val="24"/>
        </w:rPr>
        <w:t>申报者各项能力积分汇总表</w:t>
      </w:r>
    </w:p>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Cs w:val="21"/>
        </w:rPr>
      </w:pP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2</w:t>
            </w:r>
            <w:r>
              <w:rPr>
                <w:rFonts w:hint="eastAsia" w:ascii="Times New Roman" w:hAnsi="Times New Roman" w:cs="Times New Roman"/>
                <w:b/>
                <w:bCs/>
                <w:szCs w:val="21"/>
                <w:lang w:val="en-US" w:eastAsia="zh-CN"/>
              </w:rPr>
              <w:t>385</w:t>
            </w:r>
          </w:p>
        </w:tc>
        <w:tc>
          <w:tcPr>
            <w:tcW w:w="1134" w:type="dxa"/>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1120</w:t>
            </w:r>
          </w:p>
        </w:tc>
        <w:tc>
          <w:tcPr>
            <w:tcW w:w="1418" w:type="dxa"/>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w:t>
            </w:r>
            <w:r>
              <w:rPr>
                <w:rFonts w:hint="eastAsia" w:ascii="Times New Roman" w:hAnsi="Times New Roman" w:cs="Times New Roman"/>
                <w:b/>
                <w:bCs/>
                <w:szCs w:val="21"/>
                <w:lang w:val="en-US" w:eastAsia="zh-CN"/>
              </w:rPr>
              <w:t>2</w:t>
            </w:r>
            <w:r>
              <w:rPr>
                <w:rFonts w:hint="default" w:ascii="Times New Roman" w:hAnsi="Times New Roman" w:cs="Times New Roman"/>
                <w:b/>
                <w:bCs/>
                <w:szCs w:val="21"/>
                <w:lang w:val="en-US" w:eastAsia="zh-CN"/>
              </w:rPr>
              <w:t>10</w:t>
            </w:r>
          </w:p>
        </w:tc>
        <w:tc>
          <w:tcPr>
            <w:tcW w:w="1558" w:type="dxa"/>
            <w:tcBorders>
              <w:right w:val="single" w:color="auto" w:sz="4" w:space="0"/>
            </w:tcBorders>
            <w:vAlign w:val="center"/>
          </w:tcPr>
          <w:p>
            <w:pPr>
              <w:widowControl/>
              <w:jc w:val="center"/>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val="en-US" w:eastAsia="zh-CN"/>
              </w:rPr>
              <w:t>2023.5</w:t>
            </w: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hint="default" w:ascii="Times New Roman" w:hAnsi="Times New Roman" w:cs="Times New Roman"/>
                <w:b/>
                <w:bCs/>
                <w:szCs w:val="21"/>
              </w:rPr>
            </w:pPr>
          </w:p>
        </w:tc>
        <w:tc>
          <w:tcPr>
            <w:tcW w:w="1134" w:type="dxa"/>
            <w:vAlign w:val="center"/>
          </w:tcPr>
          <w:p>
            <w:pPr>
              <w:widowControl/>
              <w:jc w:val="center"/>
              <w:rPr>
                <w:rFonts w:hint="default" w:ascii="Times New Roman" w:hAnsi="Times New Roman" w:cs="Times New Roman"/>
                <w:b/>
                <w:bCs/>
                <w:szCs w:val="21"/>
              </w:rPr>
            </w:pPr>
          </w:p>
        </w:tc>
        <w:tc>
          <w:tcPr>
            <w:tcW w:w="1418" w:type="dxa"/>
            <w:vAlign w:val="center"/>
          </w:tcPr>
          <w:p>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hint="default" w:ascii="Times New Roman" w:hAnsi="Times New Roman" w:cs="Times New Roman"/>
                <w:b/>
                <w:bCs/>
                <w:szCs w:val="21"/>
              </w:rPr>
            </w:pPr>
          </w:p>
        </w:tc>
        <w:tc>
          <w:tcPr>
            <w:tcW w:w="1134" w:type="dxa"/>
            <w:vAlign w:val="center"/>
          </w:tcPr>
          <w:p>
            <w:pPr>
              <w:widowControl/>
              <w:jc w:val="center"/>
              <w:rPr>
                <w:rFonts w:hint="default" w:ascii="Times New Roman" w:hAnsi="Times New Roman" w:cs="Times New Roman"/>
                <w:b/>
                <w:bCs/>
                <w:szCs w:val="21"/>
              </w:rPr>
            </w:pPr>
          </w:p>
        </w:tc>
        <w:tc>
          <w:tcPr>
            <w:tcW w:w="1418" w:type="dxa"/>
            <w:vAlign w:val="center"/>
          </w:tcPr>
          <w:p>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bl>
    <w:p>
      <w:pPr>
        <w:widowControl/>
        <w:jc w:val="left"/>
        <w:rPr>
          <w:rFonts w:hint="default" w:ascii="Times New Roman" w:hAnsi="Times New Roman" w:cs="Times New Roman"/>
          <w:szCs w:val="21"/>
        </w:rPr>
      </w:pPr>
      <w:r>
        <w:rPr>
          <w:rFonts w:hint="default" w:ascii="Times New Roman" w:hAnsi="Times New Roman" w:cs="Times New Roman"/>
          <w:kern w:val="1"/>
          <w:szCs w:val="21"/>
        </w:rPr>
        <w:t>注：教学为主型教育教学能</w:t>
      </w:r>
      <w:r>
        <w:rPr>
          <w:rFonts w:hint="default" w:ascii="Times New Roman" w:hAnsi="Times New Roman" w:cs="Times New Roman"/>
          <w:kern w:val="1"/>
          <w:szCs w:val="21"/>
          <w:lang w:eastAsia="zh-CN"/>
        </w:rPr>
        <w:t>力分</w:t>
      </w:r>
      <w:r>
        <w:rPr>
          <w:rFonts w:hint="default" w:ascii="Times New Roman" w:hAnsi="Times New Roman" w:cs="Times New Roman"/>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rPr>
          <w:rFonts w:hint="default" w:ascii="Times New Roman" w:hAnsi="Times New Roman" w:cs="Times New Roman"/>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8" w:hRule="atLeast"/>
          <w:jc w:val="center"/>
        </w:trPr>
        <w:tc>
          <w:tcPr>
            <w:tcW w:w="9854" w:type="dxa"/>
          </w:tcPr>
          <w:p>
            <w:pPr>
              <w:jc w:val="center"/>
              <w:rPr>
                <w:rFonts w:hint="default" w:ascii="Times New Roman" w:hAnsi="Times New Roman" w:cs="Times New Roman"/>
              </w:rPr>
            </w:pPr>
            <w:r>
              <w:rPr>
                <w:rFonts w:hint="default" w:ascii="Times New Roman" w:hAnsi="Times New Roman" w:cs="Times New Roman"/>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342" w:hRule="atLeast"/>
          <w:jc w:val="center"/>
        </w:trPr>
        <w:tc>
          <w:tcPr>
            <w:tcW w:w="9854" w:type="dxa"/>
          </w:tcPr>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211" w:firstLineChars="1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电机与电力拖动及其实验、PLC课程设计、电力电子技术、数字电子技术及其实验、新生专业导论、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自2018年以来</w:t>
            </w:r>
            <w:r>
              <w:rPr>
                <w:rFonts w:hint="default" w:ascii="Times New Roman" w:hAnsi="Times New Roman" w:eastAsia="宋体" w:cs="Times New Roman"/>
                <w:color w:val="000000"/>
                <w:sz w:val="21"/>
                <w:szCs w:val="21"/>
                <w:lang w:val="en-US"/>
              </w:rPr>
              <w:t>，我</w:t>
            </w:r>
            <w:r>
              <w:rPr>
                <w:rFonts w:hint="default" w:ascii="Times New Roman" w:hAnsi="Times New Roman" w:eastAsia="宋体" w:cs="Times New Roman"/>
                <w:color w:val="000000"/>
                <w:sz w:val="21"/>
                <w:szCs w:val="21"/>
                <w:lang w:val="en-US" w:eastAsia="zh-CN"/>
              </w:rPr>
              <w:t>一直</w:t>
            </w:r>
            <w:r>
              <w:rPr>
                <w:rFonts w:hint="default" w:ascii="Times New Roman" w:hAnsi="Times New Roman" w:eastAsia="宋体" w:cs="Times New Roman"/>
                <w:color w:val="000000"/>
                <w:sz w:val="21"/>
                <w:szCs w:val="21"/>
                <w:lang w:val="en-US"/>
              </w:rPr>
              <w:t>担任2018自动化班主任工作。作为班主任，我深深懂得教师的一言一行都影响着学生，对学生起着言传身教的作用。所以在工作中我一直遵循严要求，高标准的指导方针。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西门子杯”全国大学生工业自动化挑战赛，并在暑假期间带队参加了第十三届“西门子杯”全国大学生工业自动化挑战赛华南分赛区的比赛并取得了华南赛区二等奖一项的良好成绩。</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SA"/>
              </w:rPr>
              <w:t>近年来，指导大学生电子竞赛获全国二等奖2次、海南省一等奖6次、二/三等奖10余次，先后6次荣获大学生电子设计竞赛海南赛区优秀指导教师。指导智能汽车竞赛、中国智能制造挑战赛累计获华南赛区一等奖4次，二/三等奖近20次。</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同时，本人积极参加各种教学大赛，参加了2020年全国青年教师电子线路授课大赛并获得中南赛区一等奖，成功晋级全国总决赛并获全国三等奖。参加首届全国教师教学创新大赛并分获校级二等奖、省级三等奖。</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pPr>
            <w:r>
              <w:rPr>
                <w:rFonts w:hint="default" w:ascii="Times New Roman" w:hAnsi="Times New Roman" w:eastAsia="宋体" w:cs="Times New Roman"/>
                <w:kern w:val="0"/>
                <w:sz w:val="21"/>
                <w:szCs w:val="21"/>
                <w:lang w:val="zh-CN" w:eastAsia="zh-CN" w:bidi="ar-SA"/>
              </w:rPr>
              <w:t>承担海南省自然科学基金等数项科研项目，先后参与多项国家专利及国家自然科学基金，在中国电机工程学报、电子学报、电工技术学报等国内具有重要影响的学术期刊及IEEE 等国际会议上发表专业学术论文共 20 余篇，其中 SCI/EI 收录 10 余篇次，获得国家实用新型专利 5 项、发明专利 2 项、主编并出版专著</w:t>
            </w:r>
            <w:r>
              <w:rPr>
                <w:rFonts w:hint="default" w:ascii="Times New Roman" w:hAnsi="Times New Roman" w:eastAsia="宋体" w:cs="Times New Roman"/>
                <w:kern w:val="0"/>
                <w:sz w:val="21"/>
                <w:szCs w:val="21"/>
                <w:lang w:val="en-US" w:eastAsia="zh-CN" w:bidi="ar-SA"/>
              </w:rPr>
              <w:t>2</w:t>
            </w:r>
            <w:r>
              <w:rPr>
                <w:rFonts w:hint="default" w:ascii="Times New Roman" w:hAnsi="Times New Roman" w:eastAsia="宋体" w:cs="Times New Roman"/>
                <w:kern w:val="0"/>
                <w:sz w:val="21"/>
                <w:szCs w:val="21"/>
                <w:lang w:val="zh-CN" w:eastAsia="zh-CN" w:bidi="ar-SA"/>
              </w:rPr>
              <w:t xml:space="preserve"> 部。</w:t>
            </w:r>
          </w:p>
          <w:p>
            <w:pPr>
              <w:rPr>
                <w:rFonts w:hint="eastAsia"/>
              </w:rPr>
            </w:pPr>
            <w:r>
              <w:rPr>
                <w:rFonts w:hint="eastAsia"/>
                <w:lang w:val="en-US" w:eastAsia="zh-CN"/>
              </w:rPr>
              <w:t xml:space="preserve">    </w:t>
            </w:r>
            <w:r>
              <w:rPr>
                <w:rFonts w:hint="eastAsia"/>
              </w:rPr>
              <w:t>本人承诺：</w:t>
            </w:r>
          </w:p>
          <w:p>
            <w:pPr>
              <w:rPr>
                <w:rFonts w:hint="default" w:eastAsiaTheme="minorEastAsia"/>
                <w:lang w:val="en-US" w:eastAsia="zh-CN"/>
              </w:rPr>
            </w:pPr>
          </w:p>
          <w:p/>
          <w:p/>
          <w:p/>
          <w:p/>
          <w:p/>
          <w:p/>
          <w:p/>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
            <w:pPr>
              <w:rPr>
                <w:rFonts w:hint="eastAsia"/>
              </w:rPr>
            </w:pPr>
            <w:r>
              <w:rPr>
                <w:rFonts w:hint="eastAsia"/>
              </w:rPr>
              <w:t xml:space="preserve">                                              签名：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pPr>
              <w:rPr>
                <w:rFonts w:hint="eastAsia"/>
              </w:rPr>
            </w:pPr>
          </w:p>
          <w:p>
            <w:pPr>
              <w:rPr>
                <w:rFonts w:hint="eastAsia"/>
              </w:rPr>
            </w:pP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68" w:hRule="atLeast"/>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钟久明</w:t>
            </w:r>
          </w:p>
        </w:tc>
        <w:tc>
          <w:tcPr>
            <w:tcW w:w="1543"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自动化</w:t>
            </w:r>
          </w:p>
        </w:tc>
        <w:tc>
          <w:tcPr>
            <w:tcW w:w="1417"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教授（双师型）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pPr>
              <w:spacing w:line="360" w:lineRule="exact"/>
              <w:ind w:firstLine="3600" w:firstLineChars="1200"/>
              <w:rPr>
                <w:rFonts w:hint="eastAsia" w:asciiTheme="minorEastAsia" w:hAnsiTheme="minorEastAsia" w:eastAsiaTheme="minorEastAsia" w:cstheme="minorEastAsia"/>
                <w:sz w:val="30"/>
                <w:szCs w:val="30"/>
              </w:rPr>
            </w:pPr>
          </w:p>
        </w:tc>
      </w:tr>
    </w:tbl>
    <w:p>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hint="default" w:ascii="Times New Roman" w:hAnsi="Times New Roman" w:cs="Times New Roman"/>
                <w:kern w:val="0"/>
                <w:sz w:val="24"/>
                <w:szCs w:val="24"/>
              </w:rPr>
            </w:pPr>
            <w:r>
              <w:rPr>
                <w:rFonts w:hint="default" w:ascii="Times New Roman" w:hAnsi="Times New Roman" w:cs="Times New Roman"/>
                <w:kern w:val="0"/>
                <w:sz w:val="24"/>
                <w:szCs w:val="24"/>
              </w:rPr>
              <w:t>依据《海南师范大学高校教师系列专业技术职务评审管理办法》（海师办〔2021</w:t>
            </w:r>
            <w:r>
              <w:rPr>
                <w:rFonts w:hint="default" w:ascii="Times New Roman" w:hAnsi="Times New Roman" w:eastAsia="宋体" w:cs="Times New Roman"/>
                <w:kern w:val="0"/>
                <w:sz w:val="24"/>
                <w:szCs w:val="24"/>
              </w:rPr>
              <w:t>〕</w:t>
            </w:r>
            <w:r>
              <w:rPr>
                <w:rFonts w:hint="default" w:ascii="Times New Roman" w:hAnsi="Times New Roman" w:cs="Times New Roman"/>
                <w:kern w:val="0"/>
                <w:sz w:val="24"/>
                <w:szCs w:val="24"/>
              </w:rPr>
              <w:t>87号</w:t>
            </w:r>
            <w:r>
              <w:rPr>
                <w:rFonts w:hint="default" w:ascii="Times New Roman" w:hAnsi="Times New Roman" w:cs="Times New Roman"/>
                <w:kern w:val="0"/>
                <w:sz w:val="24"/>
                <w:szCs w:val="24"/>
                <w:lang w:eastAsia="zh-CN"/>
              </w:rPr>
              <w:t>）</w:t>
            </w:r>
            <w:r>
              <w:rPr>
                <w:rFonts w:hint="default" w:ascii="Times New Roman" w:hAnsi="Times New Roman" w:cs="Times New Roman"/>
                <w:kern w:val="0"/>
                <w:sz w:val="24"/>
                <w:szCs w:val="24"/>
              </w:rPr>
              <w:t>规定，经鉴定审核，</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同志的申报材料真实完整，并经    年  月  日至    月   日公示无异议，同意其参评</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专业技术资格职称。</w:t>
            </w:r>
          </w:p>
          <w:p>
            <w:pPr>
              <w:widowControl/>
              <w:spacing w:line="360" w:lineRule="exact"/>
              <w:ind w:firstLine="480" w:firstLineChars="200"/>
              <w:rPr>
                <w:rFonts w:hint="default" w:ascii="Times New Roman" w:hAnsi="Times New Roman" w:cs="Times New Roman"/>
                <w:kern w:val="0"/>
                <w:sz w:val="24"/>
                <w:szCs w:val="24"/>
              </w:rPr>
            </w:pPr>
          </w:p>
          <w:p>
            <w:pPr>
              <w:widowControl/>
              <w:jc w:val="center"/>
              <w:rPr>
                <w:rFonts w:hint="default" w:ascii="Times New Roman" w:hAnsi="Times New Roman" w:cs="Times New Roman"/>
                <w:kern w:val="0"/>
                <w:szCs w:val="21"/>
              </w:rPr>
            </w:pPr>
          </w:p>
          <w:p>
            <w:pPr>
              <w:widowControl/>
              <w:rPr>
                <w:rFonts w:hint="default" w:ascii="Times New Roman" w:hAnsi="Times New Roman" w:cs="Times New Roman"/>
                <w:kern w:val="0"/>
                <w:szCs w:val="21"/>
              </w:rPr>
            </w:pPr>
            <w:r>
              <w:rPr>
                <w:rFonts w:hint="default" w:ascii="Times New Roman" w:hAnsi="Times New Roman" w:cs="Times New Roman"/>
                <w:kern w:val="0"/>
                <w:szCs w:val="21"/>
              </w:rPr>
              <w:t xml:space="preserve">材料审核人：              学院院长签字（盖章）：                 年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Cs w:val="21"/>
              </w:rPr>
              <w:t>代表性成果1名称：</w:t>
            </w:r>
            <w:r>
              <w:rPr>
                <w:rFonts w:hint="default" w:ascii="Times New Roman" w:hAnsi="Times New Roman" w:cs="Times New Roman"/>
                <w:b w:val="0"/>
                <w:bCs w:val="0"/>
                <w:sz w:val="21"/>
                <w:szCs w:val="21"/>
                <w:lang w:eastAsia="zh-CN"/>
              </w:rPr>
              <w:t>钟久明</w:t>
            </w:r>
            <w:r>
              <w:rPr>
                <w:rFonts w:hint="default" w:ascii="Times New Roman" w:hAnsi="Times New Roman" w:cs="Times New Roman"/>
                <w:sz w:val="21"/>
                <w:szCs w:val="21"/>
                <w:lang w:eastAsia="zh-CN"/>
              </w:rPr>
              <w:t xml:space="preserve">, 刘树林, 王玉婷等. 基于模拟电荷法的微间隙场增强因子研究[J]. </w:t>
            </w:r>
            <w:r>
              <w:rPr>
                <w:rFonts w:hint="default" w:ascii="Times New Roman" w:hAnsi="Times New Roman" w:cs="Times New Roman"/>
                <w:b/>
                <w:bCs/>
                <w:sz w:val="21"/>
                <w:szCs w:val="21"/>
                <w:lang w:eastAsia="zh-CN"/>
              </w:rPr>
              <w:t>电子学报</w:t>
            </w:r>
            <w:r>
              <w:rPr>
                <w:rFonts w:hint="default" w:ascii="Times New Roman" w:hAnsi="Times New Roman" w:cs="Times New Roman"/>
                <w:sz w:val="21"/>
                <w:szCs w:val="21"/>
                <w:lang w:eastAsia="zh-CN"/>
              </w:rPr>
              <w:t>, 2016,4(44):1003-1008.  (</w:t>
            </w:r>
            <w:r>
              <w:rPr>
                <w:rFonts w:hint="eastAsia" w:ascii="Times New Roman" w:hAnsi="Times New Roman" w:cs="Times New Roman"/>
                <w:sz w:val="21"/>
                <w:szCs w:val="21"/>
                <w:lang w:val="en-US" w:eastAsia="zh-CN"/>
              </w:rPr>
              <w:t>科研成果</w:t>
            </w:r>
            <w:r>
              <w:rPr>
                <w:rFonts w:hint="default" w:ascii="Times New Roman" w:hAnsi="Times New Roman" w:cs="Times New Roman"/>
                <w:sz w:val="21"/>
                <w:szCs w:val="21"/>
                <w:lang w:eastAsia="zh-CN"/>
              </w:rPr>
              <w:t>)</w:t>
            </w:r>
          </w:p>
          <w:p>
            <w:pPr>
              <w:widowControl/>
              <w:jc w:val="left"/>
              <w:rPr>
                <w:rFonts w:hint="default" w:ascii="Times New Roman" w:hAnsi="Times New Roman" w:cs="Times New Roman"/>
                <w:kern w:val="0"/>
                <w:szCs w:val="21"/>
              </w:rPr>
            </w:pPr>
            <w:r>
              <w:rPr>
                <w:rFonts w:hint="default" w:ascii="Times New Roman" w:hAnsi="Times New Roman" w:cs="Times New Roman"/>
                <w:b/>
                <w:bCs/>
                <w:color w:val="000000"/>
                <w:kern w:val="0"/>
                <w:szCs w:val="21"/>
              </w:rPr>
              <w:t>代表性成果</w:t>
            </w:r>
            <w:r>
              <w:rPr>
                <w:rFonts w:hint="eastAsia" w:ascii="Times New Roman" w:hAnsi="Times New Roman" w:cs="Times New Roman"/>
                <w:b/>
                <w:bCs/>
                <w:color w:val="000000"/>
                <w:kern w:val="0"/>
                <w:szCs w:val="21"/>
                <w:lang w:val="en-US" w:eastAsia="zh-CN"/>
              </w:rPr>
              <w:t>3</w:t>
            </w:r>
            <w:r>
              <w:rPr>
                <w:rFonts w:hint="default" w:ascii="Times New Roman" w:hAnsi="Times New Roman" w:cs="Times New Roman"/>
                <w:b/>
                <w:bCs/>
                <w:color w:val="000000"/>
                <w:kern w:val="0"/>
                <w:szCs w:val="21"/>
              </w:rPr>
              <w:t>名称：</w:t>
            </w:r>
            <w:r>
              <w:rPr>
                <w:rFonts w:hint="eastAsia" w:ascii="Times New Roman" w:hAnsi="Times New Roman" w:cs="Times New Roman"/>
                <w:b w:val="0"/>
                <w:bCs w:val="0"/>
                <w:color w:val="000000"/>
                <w:kern w:val="0"/>
                <w:szCs w:val="21"/>
                <w:lang w:val="en-US" w:eastAsia="zh-CN"/>
              </w:rPr>
              <w:t>海南师范大学</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西门子杯</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中国智能制造挑战赛赛项指导与管理（实践教学成果）</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E7D00"/>
    <w:multiLevelType w:val="singleLevel"/>
    <w:tmpl w:val="FF0E7D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8461F5"/>
    <w:rsid w:val="04F82111"/>
    <w:rsid w:val="04F9213C"/>
    <w:rsid w:val="0643325A"/>
    <w:rsid w:val="0A9B39E1"/>
    <w:rsid w:val="10066654"/>
    <w:rsid w:val="128672BB"/>
    <w:rsid w:val="153B3244"/>
    <w:rsid w:val="1B322335"/>
    <w:rsid w:val="1E1E083D"/>
    <w:rsid w:val="26C836D0"/>
    <w:rsid w:val="2A685020"/>
    <w:rsid w:val="2A6D525A"/>
    <w:rsid w:val="2BBE6A1A"/>
    <w:rsid w:val="2CBF0E1F"/>
    <w:rsid w:val="2D206392"/>
    <w:rsid w:val="33D6278A"/>
    <w:rsid w:val="38BA425C"/>
    <w:rsid w:val="3A671203"/>
    <w:rsid w:val="3AD135EC"/>
    <w:rsid w:val="43D9101E"/>
    <w:rsid w:val="45B31408"/>
    <w:rsid w:val="499C1040"/>
    <w:rsid w:val="49C05A15"/>
    <w:rsid w:val="49DF4468"/>
    <w:rsid w:val="4B167CD3"/>
    <w:rsid w:val="4EC01E0B"/>
    <w:rsid w:val="5A943430"/>
    <w:rsid w:val="5C6C6C7F"/>
    <w:rsid w:val="5FF214EF"/>
    <w:rsid w:val="62EA7456"/>
    <w:rsid w:val="64F74338"/>
    <w:rsid w:val="66FD1A98"/>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FF0000"/>
      <w:sz w:val="21"/>
      <w:szCs w:val="21"/>
      <w:u w:val="none"/>
    </w:rPr>
  </w:style>
  <w:style w:type="character" w:customStyle="1" w:styleId="15">
    <w:name w:val="font11"/>
    <w:basedOn w:val="8"/>
    <w:qFormat/>
    <w:uiPriority w:val="0"/>
    <w:rPr>
      <w:rFonts w:hint="default" w:ascii="Times New Roman" w:hAnsi="Times New Roman" w:cs="Times New Roman"/>
      <w:color w:val="000000"/>
      <w:sz w:val="20"/>
      <w:szCs w:val="20"/>
      <w:u w:val="none"/>
    </w:rPr>
  </w:style>
  <w:style w:type="character" w:customStyle="1" w:styleId="16">
    <w:name w:val="font31"/>
    <w:basedOn w:val="8"/>
    <w:qFormat/>
    <w:uiPriority w:val="0"/>
    <w:rPr>
      <w:rFonts w:hint="eastAsia" w:ascii="宋体" w:hAnsi="宋体" w:eastAsia="宋体" w:cs="宋体"/>
      <w:color w:val="000000"/>
      <w:sz w:val="20"/>
      <w:szCs w:val="20"/>
      <w:u w:val="none"/>
    </w:rPr>
  </w:style>
  <w:style w:type="character" w:customStyle="1" w:styleId="17">
    <w:name w:val="font41"/>
    <w:basedOn w:val="8"/>
    <w:qFormat/>
    <w:uiPriority w:val="0"/>
    <w:rPr>
      <w:rFonts w:hint="eastAsia" w:ascii="宋体" w:hAnsi="宋体" w:eastAsia="宋体" w:cs="宋体"/>
      <w:color w:val="000000"/>
      <w:sz w:val="20"/>
      <w:szCs w:val="20"/>
      <w:u w:val="none"/>
    </w:rPr>
  </w:style>
  <w:style w:type="character" w:customStyle="1" w:styleId="18">
    <w:name w:val="font61"/>
    <w:basedOn w:val="8"/>
    <w:qFormat/>
    <w:uiPriority w:val="0"/>
    <w:rPr>
      <w:rFonts w:hint="eastAsia" w:ascii="宋体" w:hAnsi="宋体" w:eastAsia="宋体" w:cs="宋体"/>
      <w:color w:val="000000"/>
      <w:sz w:val="21"/>
      <w:szCs w:val="21"/>
      <w:u w:val="none"/>
    </w:rPr>
  </w:style>
  <w:style w:type="character" w:customStyle="1" w:styleId="19">
    <w:name w:val="font71"/>
    <w:basedOn w:val="8"/>
    <w:qFormat/>
    <w:uiPriority w:val="0"/>
    <w:rPr>
      <w:rFonts w:hint="default" w:ascii="Times New Roman" w:hAnsi="Times New Roman" w:cs="Times New Roman"/>
      <w:color w:val="000000"/>
      <w:sz w:val="21"/>
      <w:szCs w:val="21"/>
      <w:u w:val="none"/>
    </w:rPr>
  </w:style>
  <w:style w:type="character" w:customStyle="1" w:styleId="20">
    <w:name w:val="font81"/>
    <w:basedOn w:val="8"/>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29</Pages>
  <Words>13260</Words>
  <Characters>16064</Characters>
  <Lines>81</Lines>
  <Paragraphs>22</Paragraphs>
  <TotalTime>29</TotalTime>
  <ScaleCrop>false</ScaleCrop>
  <LinksUpToDate>false</LinksUpToDate>
  <CharactersWithSpaces>18101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2022-11-17T03:10:00Z</cp:lastPrinted>
  <dcterms:modified xsi:type="dcterms:W3CDTF">2025-04-25T09:43:12Z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30D47DAD9AAC42E682495CA7025E11C9_13</vt:lpwstr>
  </property>
</Properties>
</file>