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7AFE7">
      <w:pPr>
        <w:pStyle w:val="2"/>
        <w:bidi w:val="0"/>
        <w:rPr>
          <w:rFonts w:hint="eastAsia"/>
        </w:rPr>
      </w:pPr>
      <w:bookmarkStart w:id="0" w:name="_Toc11790"/>
      <w:r>
        <w:rPr>
          <w:rFonts w:hint="eastAsia"/>
        </w:rPr>
        <w:t>摘</w:t>
      </w:r>
      <w:r>
        <w:rPr>
          <w:rFonts w:hint="eastAsia"/>
          <w:lang w:val="en-US" w:eastAsia="zh-CN"/>
        </w:rPr>
        <w:t xml:space="preserve">  </w:t>
      </w:r>
      <w:r>
        <w:rPr>
          <w:rFonts w:hint="eastAsia"/>
        </w:rPr>
        <w:t>要</w:t>
      </w:r>
      <w:bookmarkEnd w:id="0"/>
    </w:p>
    <w:p w14:paraId="39AB4074">
      <w:pPr>
        <w:keepNext w:val="0"/>
        <w:keepLines w:val="0"/>
        <w:pageBreakBefore w:val="0"/>
        <w:widowControl w:val="0"/>
        <w:kinsoku/>
        <w:wordWrap/>
        <w:overflowPunct/>
        <w:topLinePunct w:val="0"/>
        <w:autoSpaceDE/>
        <w:autoSpaceDN/>
        <w:bidi w:val="0"/>
        <w:adjustRightInd/>
        <w:snapToGrid/>
        <w:textAlignment w:val="auto"/>
        <w:rPr>
          <w:rFonts w:hint="eastAsia"/>
          <w:color w:val="auto"/>
          <w:lang w:val="en-US" w:eastAsia="zh-CN"/>
        </w:rPr>
      </w:pPr>
      <w:r>
        <w:rPr>
          <w:rFonts w:hint="eastAsia"/>
          <w:color w:val="auto"/>
          <w:lang w:val="en-US" w:eastAsia="zh-CN"/>
        </w:rPr>
        <w:t>通常光在各向均匀介质中的传播是互易的。然而，当介质的介电常数、极化率以及折射率的空间对称性被打破，光从介质两侧入射的传播特性也不再对称，即光传播是非互易的。基于光学非互易性设计的隔离器、环形器等非互易光子器件是芯片的核心元件。高效易于集成的芯片在量子计算、信息传递等领域的应用有利于推动量子网络的发展。然而光在传播过程中容易受到环境的干扰造成量子特性丢失，非互易光放大能够有效阻止噪音、反向散射等的干扰。非互易和光放大通常是两个独立的系统。而在一个系统中同时实现非互易和光放大即能够提高光子器件的效率又利于集成。</w:t>
      </w:r>
    </w:p>
    <w:p w14:paraId="27BE6473">
      <w:pPr>
        <w:keepNext w:val="0"/>
        <w:keepLines w:val="0"/>
        <w:pageBreakBefore w:val="0"/>
        <w:widowControl w:val="0"/>
        <w:kinsoku/>
        <w:wordWrap/>
        <w:overflowPunct/>
        <w:topLinePunct w:val="0"/>
        <w:autoSpaceDE/>
        <w:autoSpaceDN/>
        <w:bidi w:val="0"/>
        <w:adjustRightInd/>
        <w:snapToGrid/>
        <w:textAlignment w:val="auto"/>
        <w:rPr>
          <w:rFonts w:hint="eastAsia"/>
          <w:color w:val="auto"/>
        </w:rPr>
      </w:pPr>
      <w:r>
        <w:rPr>
          <w:rFonts w:hint="eastAsia"/>
          <w:color w:val="auto"/>
          <w:lang w:val="en-US" w:eastAsia="zh-CN"/>
        </w:rPr>
        <w:t>本论文基于一维缺陷原子晶格，首先，利用斐波那契数列调制空晶格排布，精确调控缺陷原子晶格结构，在三能级相干原子系统中实现非互易反射的动力学调控；进一步地，引入微波构成立闭合回路跃迁建立相干增益原子系统，实现了宽带完美非互易反射（单向反射）光放大的调控；接下来，基于自发辐射相干效应并借助非相干泵浦场的作用建立增益原子系统，提高非互易反射放大的的倍数。具体地，第一个工作中，在一维缺陷原子晶格中建立三能级Lambda型相干原子系统，利用斐波那契数列控制空晶格的数量，精细的调控缺陷晶格结构成功实现对比度大于90%且带宽大于10MHz的非互易反射带。接下来，使缺陷部分的空晶格周期性出现。基于第一个工作，</w:t>
      </w:r>
      <w:r>
        <w:rPr>
          <w:rFonts w:hint="eastAsia"/>
          <w:color w:val="auto"/>
        </w:rPr>
        <w:t>在第二</w:t>
      </w:r>
      <w:r>
        <w:rPr>
          <w:rFonts w:hint="eastAsia"/>
          <w:color w:val="auto"/>
          <w:lang w:val="en-US" w:eastAsia="zh-CN"/>
        </w:rPr>
        <w:t>个工作</w:t>
      </w:r>
      <w:r>
        <w:rPr>
          <w:rFonts w:hint="eastAsia"/>
          <w:color w:val="auto"/>
        </w:rPr>
        <w:t>中</w:t>
      </w:r>
      <w:r>
        <w:rPr>
          <w:rFonts w:hint="eastAsia"/>
          <w:color w:val="auto"/>
          <w:lang w:val="en-US" w:eastAsia="zh-CN"/>
        </w:rPr>
        <w:t>通过加入微波场构成的</w:t>
      </w:r>
      <w:r>
        <w:rPr>
          <w:rFonts w:hint="eastAsia"/>
          <w:color w:val="auto"/>
        </w:rPr>
        <w:t>闭合回路相干增益</w:t>
      </w:r>
      <w:r>
        <w:rPr>
          <w:rFonts w:hint="eastAsia"/>
          <w:color w:val="auto"/>
          <w:lang w:val="en-US" w:eastAsia="zh-CN"/>
        </w:rPr>
        <w:t>原子系统</w:t>
      </w:r>
      <w:r>
        <w:rPr>
          <w:rFonts w:hint="eastAsia"/>
          <w:color w:val="auto"/>
        </w:rPr>
        <w:t>，</w:t>
      </w:r>
      <w:r>
        <w:rPr>
          <w:rFonts w:hint="eastAsia"/>
          <w:color w:val="auto"/>
          <w:lang w:val="en-US" w:eastAsia="zh-CN"/>
        </w:rPr>
        <w:t>通过优化相对相位</w:t>
      </w:r>
      <w:r>
        <w:rPr>
          <w:rFonts w:hint="eastAsia" w:eastAsia="宋体"/>
          <w:color w:val="auto"/>
          <w:position w:val="-10"/>
          <w:highlight w:val="none"/>
          <w:lang w:val="en-US" w:eastAsia="zh-CN"/>
        </w:rPr>
        <w:object>
          <v:shape id="_x0000_i1025" o:spt="75" type="#_x0000_t75" style="height:16pt;width:10pt;" o:ole="t" filled="f" o:preferrelative="t" stroked="f" coordsize="21600,21600">
            <v:path/>
            <v:fill on="f" focussize="0,0"/>
            <v:stroke on="f"/>
            <v:imagedata r:id="rId10" o:title=""/>
            <o:lock v:ext="edit" aspectratio="f"/>
            <w10:wrap type="none"/>
            <w10:anchorlock/>
          </v:shape>
          <o:OLEObject Type="Embed" ProgID="Equation.DSMT4" ShapeID="_x0000_i1025" DrawAspect="Content" ObjectID="_1468075725" r:id="rId9">
            <o:LockedField>false</o:LockedField>
          </o:OLEObject>
        </w:object>
      </w:r>
      <w:r>
        <w:rPr>
          <w:rFonts w:hint="eastAsia"/>
          <w:color w:val="auto"/>
          <w:lang w:val="en-US" w:eastAsia="zh-CN"/>
        </w:rPr>
        <w:t>、缺陷率</w:t>
      </w:r>
      <w:r>
        <w:rPr>
          <w:rFonts w:hint="default" w:ascii="Times New Roman" w:hAnsi="Times New Roman" w:eastAsia="宋体" w:cs="Times New Roman"/>
          <w:color w:val="auto"/>
          <w:kern w:val="2"/>
          <w:position w:val="-10"/>
          <w:szCs w:val="24"/>
          <w:highlight w:val="none"/>
          <w:lang w:val="en-US" w:eastAsia="zh-CN" w:bidi="ar-SA"/>
        </w:rPr>
        <w:object>
          <v:shape id="_x0000_i1026" o:spt="75" type="#_x0000_t75" style="height:16pt;width:10pt;" o:ole="t" filled="f" o:preferrelative="t" stroked="f" coordsize="21600,21600">
            <v:path/>
            <v:fill on="f" focussize="0,0"/>
            <v:stroke on="f"/>
            <v:imagedata r:id="rId12" o:title=""/>
            <o:lock v:ext="edit" aspectratio="f"/>
            <w10:wrap type="none"/>
            <w10:anchorlock/>
          </v:shape>
          <o:OLEObject Type="Embed" ProgID="Equation.DSMT4" ShapeID="_x0000_i1026" DrawAspect="Content" ObjectID="_1468075726" r:id="rId11">
            <o:LockedField>false</o:LockedField>
          </o:OLEObject>
        </w:object>
      </w:r>
      <w:r>
        <w:rPr>
          <w:rFonts w:hint="eastAsia"/>
          <w:color w:val="auto"/>
          <w:lang w:val="en-US" w:eastAsia="zh-CN"/>
        </w:rPr>
        <w:t>以及缺陷部分的周期</w:t>
      </w:r>
      <w:r>
        <w:rPr>
          <w:rFonts w:hint="default" w:ascii="Times New Roman" w:hAnsi="Times New Roman" w:eastAsia="宋体" w:cs="Times New Roman"/>
          <w:color w:val="auto"/>
          <w:kern w:val="2"/>
          <w:position w:val="-12"/>
          <w:szCs w:val="24"/>
          <w:highlight w:val="none"/>
          <w:lang w:val="en-US" w:eastAsia="zh-CN" w:bidi="ar-SA"/>
        </w:rPr>
        <w:object>
          <v:shape id="_x0000_i1027" o:spt="75" type="#_x0000_t75" style="height:18pt;width:13.95pt;" o:ole="t" filled="f" o:preferrelative="t" stroked="f" coordsize="21600,21600">
            <v:path/>
            <v:fill on="f" focussize="0,0"/>
            <v:stroke on="f"/>
            <v:imagedata r:id="rId14" o:title=""/>
            <o:lock v:ext="edit" aspectratio="f"/>
            <w10:wrap type="none"/>
            <w10:anchorlock/>
          </v:shape>
          <o:OLEObject Type="Embed" ProgID="Equation.DSMT4" ShapeID="_x0000_i1027" DrawAspect="Content" ObjectID="_1468075727" r:id="rId13">
            <o:LockedField>false</o:LockedField>
          </o:OLEObject>
        </w:object>
      </w:r>
      <w:r>
        <w:rPr>
          <w:rFonts w:hint="eastAsia"/>
          <w:color w:val="auto"/>
          <w:lang w:val="en-US" w:eastAsia="zh-CN"/>
        </w:rPr>
        <w:t>等关键参数成功</w:t>
      </w:r>
      <w:r>
        <w:rPr>
          <w:color w:val="auto"/>
        </w:rPr>
        <w:t>获得一个反射率接近</w:t>
      </w:r>
      <w:r>
        <w:rPr>
          <w:rFonts w:hint="eastAsia"/>
          <w:color w:val="auto"/>
          <w:lang w:val="en-US" w:eastAsia="zh-CN"/>
        </w:rPr>
        <w:t>8</w:t>
      </w:r>
      <w:r>
        <w:rPr>
          <w:rFonts w:hint="eastAsia"/>
          <w:color w:val="auto"/>
          <w:lang w:eastAsia="zh-CN"/>
        </w:rPr>
        <w:t>，</w:t>
      </w:r>
      <w:r>
        <w:rPr>
          <w:rFonts w:hint="eastAsia"/>
          <w:color w:val="auto"/>
          <w:lang w:val="en-US" w:eastAsia="zh-CN"/>
        </w:rPr>
        <w:t>对比度几乎100%，放</w:t>
      </w:r>
      <w:r>
        <w:rPr>
          <w:color w:val="auto"/>
        </w:rPr>
        <w:t>大</w:t>
      </w:r>
      <w:r>
        <w:rPr>
          <w:rFonts w:hint="eastAsia"/>
          <w:color w:val="auto"/>
          <w:lang w:val="en-US" w:eastAsia="zh-CN"/>
        </w:rPr>
        <w:t>的</w:t>
      </w:r>
      <w:r>
        <w:rPr>
          <w:color w:val="auto"/>
        </w:rPr>
        <w:t>单向反射带。值得</w:t>
      </w:r>
      <w:r>
        <w:rPr>
          <w:rFonts w:hint="eastAsia"/>
          <w:color w:val="auto"/>
          <w:lang w:val="en-US" w:eastAsia="zh-CN"/>
        </w:rPr>
        <w:t>注意</w:t>
      </w:r>
      <w:r>
        <w:rPr>
          <w:color w:val="auto"/>
        </w:rPr>
        <w:t>的是，</w:t>
      </w:r>
      <w:r>
        <w:rPr>
          <w:rFonts w:hint="eastAsia"/>
          <w:color w:val="auto"/>
          <w:lang w:val="en-US" w:eastAsia="zh-CN"/>
        </w:rPr>
        <w:t>由于缺陷原子晶格</w:t>
      </w:r>
      <w:r>
        <w:rPr>
          <w:color w:val="auto"/>
        </w:rPr>
        <w:t>的</w:t>
      </w:r>
      <w:r>
        <w:rPr>
          <w:rFonts w:hint="eastAsia"/>
          <w:color w:val="auto"/>
          <w:lang w:val="en-US" w:eastAsia="zh-CN"/>
        </w:rPr>
        <w:t>分布式</w:t>
      </w:r>
      <w:r>
        <w:rPr>
          <w:color w:val="auto"/>
        </w:rPr>
        <w:t>反馈</w:t>
      </w:r>
      <w:r>
        <w:rPr>
          <w:rFonts w:hint="eastAsia"/>
          <w:color w:val="auto"/>
          <w:lang w:val="en-US" w:eastAsia="zh-CN"/>
        </w:rPr>
        <w:t>作用</w:t>
      </w:r>
      <w:r>
        <w:rPr>
          <w:color w:val="auto"/>
        </w:rPr>
        <w:t>，只需非常小的探测</w:t>
      </w:r>
      <w:r>
        <w:rPr>
          <w:rFonts w:hint="eastAsia"/>
          <w:color w:val="auto"/>
          <w:lang w:val="en-US" w:eastAsia="zh-CN"/>
        </w:rPr>
        <w:t>场</w:t>
      </w:r>
      <w:r>
        <w:rPr>
          <w:color w:val="auto"/>
        </w:rPr>
        <w:t>增益即可实现</w:t>
      </w:r>
      <w:r>
        <w:rPr>
          <w:rFonts w:hint="eastAsia"/>
          <w:color w:val="auto"/>
          <w:lang w:val="en-US" w:eastAsia="zh-CN"/>
        </w:rPr>
        <w:t>单向</w:t>
      </w:r>
      <w:r>
        <w:rPr>
          <w:color w:val="auto"/>
        </w:rPr>
        <w:t>反射</w:t>
      </w:r>
      <w:r>
        <w:rPr>
          <w:rFonts w:hint="eastAsia"/>
          <w:color w:val="auto"/>
          <w:lang w:val="en-US" w:eastAsia="zh-CN"/>
        </w:rPr>
        <w:t>光</w:t>
      </w:r>
      <w:r>
        <w:rPr>
          <w:color w:val="auto"/>
        </w:rPr>
        <w:t>放大，这在均匀介质中是无法实现的。</w:t>
      </w:r>
      <w:r>
        <w:rPr>
          <w:rFonts w:hint="eastAsia"/>
          <w:color w:val="auto"/>
        </w:rPr>
        <w:t>在第三个工作中</w:t>
      </w:r>
      <w:r>
        <w:rPr>
          <w:rFonts w:hint="eastAsia"/>
          <w:color w:val="auto"/>
          <w:lang w:eastAsia="zh-CN"/>
        </w:rPr>
        <w:t>，</w:t>
      </w:r>
      <w:r>
        <w:rPr>
          <w:rFonts w:hint="eastAsia"/>
          <w:color w:val="auto"/>
          <w:lang w:val="en-US" w:eastAsia="zh-CN"/>
        </w:rPr>
        <w:t>基于</w:t>
      </w:r>
      <w:r>
        <w:rPr>
          <w:rFonts w:hint="eastAsia"/>
          <w:color w:val="auto"/>
        </w:rPr>
        <w:t>自发辐射相干（Spontaneously Generated Coherence, SGC）</w:t>
      </w:r>
      <w:r>
        <w:rPr>
          <w:rFonts w:hint="eastAsia"/>
          <w:color w:val="auto"/>
          <w:lang w:val="en-US" w:eastAsia="zh-CN"/>
        </w:rPr>
        <w:t>借助非相干泵浦场建立增益原子系统</w:t>
      </w:r>
      <w:r>
        <w:rPr>
          <w:rFonts w:hint="eastAsia"/>
          <w:color w:val="auto"/>
        </w:rPr>
        <w:t>，实现了一侧反射率趋近于零、另一侧反射率</w:t>
      </w:r>
      <w:r>
        <w:rPr>
          <w:rFonts w:hint="eastAsia"/>
          <w:color w:val="auto"/>
          <w:lang w:val="en-US" w:eastAsia="zh-CN"/>
        </w:rPr>
        <w:t>放大近</w:t>
      </w:r>
      <w:r>
        <w:rPr>
          <w:rFonts w:hint="eastAsia"/>
          <w:color w:val="auto"/>
        </w:rPr>
        <w:t>250</w:t>
      </w:r>
      <w:r>
        <w:rPr>
          <w:rFonts w:hint="eastAsia"/>
          <w:color w:val="auto"/>
          <w:lang w:val="en-US" w:eastAsia="zh-CN"/>
        </w:rPr>
        <w:t>倍</w:t>
      </w:r>
      <w:r>
        <w:rPr>
          <w:rFonts w:hint="eastAsia"/>
          <w:color w:val="auto"/>
        </w:rPr>
        <w:t>的单向反射</w:t>
      </w:r>
      <w:r>
        <w:rPr>
          <w:rFonts w:hint="eastAsia"/>
          <w:color w:val="auto"/>
          <w:lang w:val="en-US" w:eastAsia="zh-CN"/>
        </w:rPr>
        <w:t>带</w:t>
      </w:r>
      <w:r>
        <w:rPr>
          <w:rFonts w:hint="eastAsia"/>
          <w:color w:val="auto"/>
        </w:rPr>
        <w:t>。</w:t>
      </w:r>
      <w:r>
        <w:rPr>
          <w:rFonts w:hint="eastAsia"/>
          <w:color w:val="auto"/>
          <w:lang w:val="en-US" w:eastAsia="zh-CN"/>
        </w:rPr>
        <w:t>相比之下</w:t>
      </w:r>
      <w:r>
        <w:rPr>
          <w:rFonts w:hint="eastAsia"/>
          <w:color w:val="auto"/>
        </w:rPr>
        <w:t>，</w:t>
      </w:r>
      <w:r>
        <w:rPr>
          <w:rFonts w:hint="eastAsia"/>
          <w:color w:val="auto"/>
          <w:lang w:val="en-US" w:eastAsia="zh-CN"/>
        </w:rPr>
        <w:t>SGC效应</w:t>
      </w:r>
      <w:r>
        <w:rPr>
          <w:rFonts w:hint="eastAsia"/>
          <w:color w:val="auto"/>
        </w:rPr>
        <w:t>能够</w:t>
      </w:r>
      <w:r>
        <w:rPr>
          <w:rFonts w:hint="eastAsia"/>
          <w:color w:val="auto"/>
          <w:lang w:val="en-US" w:eastAsia="zh-CN"/>
        </w:rPr>
        <w:t>降低晶格周期数、大大提高非互易反射放大的倍数</w:t>
      </w:r>
      <w:r>
        <w:rPr>
          <w:rFonts w:hint="eastAsia"/>
          <w:color w:val="auto"/>
        </w:rPr>
        <w:t>。</w:t>
      </w:r>
      <w:r>
        <w:rPr>
          <w:rFonts w:hint="eastAsia"/>
          <w:color w:val="auto"/>
          <w:lang w:val="en-US" w:eastAsia="zh-CN"/>
        </w:rPr>
        <w:t>本论文的</w:t>
      </w:r>
      <w:r>
        <w:rPr>
          <w:rFonts w:hint="eastAsia"/>
          <w:color w:val="auto"/>
        </w:rPr>
        <w:t>研究</w:t>
      </w:r>
      <w:r>
        <w:rPr>
          <w:rFonts w:hint="eastAsia"/>
          <w:color w:val="auto"/>
          <w:lang w:val="en-US" w:eastAsia="zh-CN"/>
        </w:rPr>
        <w:t>结果将</w:t>
      </w:r>
      <w:r>
        <w:rPr>
          <w:rFonts w:hint="eastAsia"/>
          <w:color w:val="auto"/>
        </w:rPr>
        <w:t>为</w:t>
      </w:r>
      <w:r>
        <w:rPr>
          <w:rFonts w:hint="eastAsia"/>
          <w:color w:val="auto"/>
          <w:lang w:val="en-US" w:eastAsia="zh-CN"/>
        </w:rPr>
        <w:t>高效率、集成化非互易光子</w:t>
      </w:r>
      <w:r>
        <w:rPr>
          <w:rFonts w:hint="eastAsia"/>
          <w:color w:val="auto"/>
        </w:rPr>
        <w:t>器件的发展提供了更多的理论依据。</w:t>
      </w:r>
    </w:p>
    <w:p w14:paraId="5E131BF6">
      <w:pPr>
        <w:keepNext w:val="0"/>
        <w:keepLines w:val="0"/>
        <w:pageBreakBefore w:val="0"/>
        <w:widowControl w:val="0"/>
        <w:kinsoku/>
        <w:wordWrap/>
        <w:overflowPunct/>
        <w:topLinePunct w:val="0"/>
        <w:autoSpaceDE/>
        <w:autoSpaceDN/>
        <w:bidi w:val="0"/>
        <w:adjustRightInd/>
        <w:snapToGrid/>
        <w:textAlignment w:val="auto"/>
        <w:rPr>
          <w:rFonts w:hint="eastAsia"/>
          <w:color w:val="C00000"/>
        </w:rPr>
      </w:pPr>
    </w:p>
    <w:p w14:paraId="2AE9D4A0">
      <w:pPr>
        <w:spacing w:line="360" w:lineRule="auto"/>
        <w:ind w:firstLine="482" w:firstLineChars="200"/>
        <w:rPr>
          <w:rFonts w:hint="eastAsia" w:ascii="宋体" w:hAnsi="宋体" w:eastAsia="宋体" w:cs="Times New Roman"/>
          <w:color w:val="000000" w:themeColor="text1"/>
          <w:sz w:val="24"/>
          <w:szCs w:val="24"/>
          <w:highlight w:val="none"/>
          <w14:textFill>
            <w14:solidFill>
              <w14:schemeClr w14:val="tx1"/>
            </w14:solidFill>
          </w14:textFill>
        </w:rPr>
        <w:sectPr>
          <w:headerReference r:id="rId5" w:type="default"/>
          <w:footerReference r:id="rId6" w:type="default"/>
          <w:footerReference r:id="rId7" w:type="even"/>
          <w:pgSz w:w="11906" w:h="16838"/>
          <w:pgMar w:top="1418" w:right="1418" w:bottom="1418" w:left="1418"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宋体" w:hAnsi="宋体" w:eastAsia="宋体" w:cs="Times New Roman"/>
          <w:b/>
          <w:bCs/>
          <w:color w:val="000000" w:themeColor="text1"/>
          <w:sz w:val="24"/>
          <w:szCs w:val="24"/>
          <w:highlight w:val="none"/>
          <w14:textFill>
            <w14:solidFill>
              <w14:schemeClr w14:val="tx1"/>
            </w14:solidFill>
          </w14:textFill>
        </w:rPr>
        <w:t>关键词</w:t>
      </w:r>
      <w:r>
        <w:rPr>
          <w:rFonts w:hint="eastAsia" w:ascii="宋体" w:hAnsi="宋体" w:cs="Times New Roman"/>
          <w:b/>
          <w:bCs/>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光学非互易；</w:t>
      </w:r>
      <w:r>
        <w:rPr>
          <w:rFonts w:hint="eastAsia" w:ascii="宋体" w:hAnsi="宋体" w:cs="Times New Roman"/>
          <w:color w:val="000000" w:themeColor="text1"/>
          <w:sz w:val="24"/>
          <w:szCs w:val="24"/>
          <w:highlight w:val="none"/>
          <w:lang w:val="en-US" w:eastAsia="zh-CN"/>
          <w14:textFill>
            <w14:solidFill>
              <w14:schemeClr w14:val="tx1"/>
            </w14:solidFill>
          </w14:textFill>
        </w:rPr>
        <w:t>对称破缺效应</w:t>
      </w:r>
      <w:r>
        <w:rPr>
          <w:rFonts w:hint="eastAsia" w:ascii="宋体" w:hAnsi="宋体" w:eastAsia="宋体" w:cs="Times New Roman"/>
          <w:color w:val="000000" w:themeColor="text1"/>
          <w:sz w:val="24"/>
          <w:szCs w:val="24"/>
          <w:highlight w:val="none"/>
          <w14:textFill>
            <w14:solidFill>
              <w14:schemeClr w14:val="tx1"/>
            </w14:solidFill>
          </w14:textFill>
        </w:rPr>
        <w:t>；</w:t>
      </w:r>
      <w:r>
        <w:rPr>
          <w:rFonts w:hint="eastAsia" w:ascii="宋体" w:hAnsi="宋体" w:cs="Times New Roman"/>
          <w:color w:val="000000" w:themeColor="text1"/>
          <w:sz w:val="24"/>
          <w:szCs w:val="24"/>
          <w:highlight w:val="none"/>
          <w:lang w:val="en-US" w:eastAsia="zh-CN"/>
          <w14:textFill>
            <w14:solidFill>
              <w14:schemeClr w14:val="tx1"/>
            </w14:solidFill>
          </w14:textFill>
        </w:rPr>
        <w:t>缺陷原子晶格</w:t>
      </w:r>
      <w:r>
        <w:rPr>
          <w:rFonts w:hint="eastAsia" w:ascii="宋体" w:hAnsi="宋体" w:eastAsia="宋体" w:cs="Times New Roman"/>
          <w:color w:val="000000" w:themeColor="text1"/>
          <w:sz w:val="24"/>
          <w:szCs w:val="24"/>
          <w:highlight w:val="none"/>
          <w14:textFill>
            <w14:solidFill>
              <w14:schemeClr w14:val="tx1"/>
            </w14:solidFill>
          </w14:textFill>
        </w:rPr>
        <w:t>；自发辐射相</w:t>
      </w:r>
      <w:bookmarkStart w:id="1" w:name="_Toc9166"/>
      <w:bookmarkStart w:id="2" w:name="_Toc14371"/>
      <w:bookmarkStart w:id="3" w:name="_Toc17531"/>
      <w:bookmarkStart w:id="4" w:name="_Toc10933"/>
      <w:r>
        <w:rPr>
          <w:rFonts w:hint="eastAsia" w:ascii="宋体" w:hAnsi="宋体" w:cs="Times New Roman"/>
          <w:color w:val="000000" w:themeColor="text1"/>
          <w:sz w:val="24"/>
          <w:szCs w:val="24"/>
          <w:highlight w:val="none"/>
          <w:lang w:val="en-US" w:eastAsia="zh-CN"/>
          <w14:textFill>
            <w14:solidFill>
              <w14:schemeClr w14:val="tx1"/>
            </w14:solidFill>
          </w14:textFill>
        </w:rPr>
        <w:t>干</w:t>
      </w:r>
    </w:p>
    <w:p w14:paraId="139EA9F9">
      <w:pPr>
        <w:pStyle w:val="2"/>
        <w:bidi w:val="0"/>
        <w:jc w:val="center"/>
      </w:pPr>
      <w:bookmarkStart w:id="5" w:name="_Toc12494"/>
      <w:r>
        <w:t>Abstra</w:t>
      </w:r>
      <w:bookmarkStart w:id="6" w:name="_GoBack"/>
      <w:bookmarkEnd w:id="6"/>
      <w:r>
        <w:t>ct</w:t>
      </w:r>
      <w:bookmarkEnd w:id="1"/>
      <w:bookmarkEnd w:id="2"/>
      <w:bookmarkEnd w:id="3"/>
      <w:bookmarkEnd w:id="4"/>
      <w:bookmarkEnd w:id="5"/>
    </w:p>
    <w:p w14:paraId="6895E609">
      <w:pPr>
        <w:bidi w:val="0"/>
        <w:rPr>
          <w:rFonts w:hint="eastAsia"/>
          <w:highlight w:val="none"/>
        </w:rPr>
      </w:pPr>
      <w:r>
        <w:rPr>
          <w:rFonts w:hint="eastAsia"/>
          <w:highlight w:val="none"/>
        </w:rPr>
        <w:t>Generally, the propagation of light in an isotropic medium is reciprocal. However, when the spatial symmetry of dielectric constant, polarizability and refractive index of the medium is broken, the propagation characteristics of light incident from both sides of the medium are no longer symmetric, that is, light propagation is non-reciprocal. Non-reciprocal photonic devices such as isolators and circulators based on optical non-reciprocity are the core components of the chip. The application of efficient and easy to integrate chips in quantum computing, information transmission and other fields is conducive to the development of quantum networks. However, light is prone to environmental interference in the propagation process, resulting in the loss of quantum properties, non-reciprocal light amplification can effectively prevent noise, backscattering and other interference. Non-reciprocal and optical amplification are usually two separate systems. The simultaneous realization of non-reciprocity and optical amplification in one system can improve the efficiency of photonic devices and facilitate integration.</w:t>
      </w:r>
    </w:p>
    <w:p w14:paraId="3EE42CFE">
      <w:pPr>
        <w:bidi w:val="0"/>
        <w:rPr>
          <w:rFonts w:hint="eastAsia"/>
          <w:highlight w:val="none"/>
        </w:rPr>
      </w:pPr>
      <w:r>
        <w:rPr>
          <w:rFonts w:hint="eastAsia"/>
          <w:highlight w:val="none"/>
        </w:rPr>
        <w:t xml:space="preserve">This thesis is based on one-dimensional defective atomic lattice. Firstly, Fibonacci series is used to modulate the empty lattice arrangement and precisely regulate the defective atomic lattice structure to achieve the dynamic regulation of non-reciprocal reflection in a three-level coherent atomic system. Further, the coherent gain atom system is established by introducing microwave to form a vertical closed loop transition, and the control of broadband perfect non-reciprocal reflection (unidirectional reflection) light amplification is realized. Next, the gain atom system is built based on the coherent effect of spontaneous radiation and the action of incoherent pump field to increase the magnification of non-reciprocal reflection. Specifically, in the first work, a three-level Lambda-type coherent atomic system is established in a one-dimensional defective atomic lattice, and the number of empty lattices is controlled by the Fibonacci number series, and the defective lattice structure is fine-tuned to successfully achieve a non-reciprocal reflection band with a contrast greater than 90% and a bandwidth greater than 10MHz. Next, the empty lattice of the defective part appears periodically. Based on the first work, a closed loop coherent gain atomic system composed of microwave field was added in the second work, and an amplified unidirectional reflection band with reflectivity close to 8 and contrast almost 100% was obtained by optimizing the relative phase, defect rate and period of the defect part. It is worth noting that due to the distributed feedback effect of the defective atomic lattice, one-way reflected light amplification can be achieved with only a very small </w:t>
      </w:r>
      <w:r>
        <w:rPr>
          <w:rFonts w:hint="eastAsia"/>
          <w:highlight w:val="none"/>
          <w:lang w:val="en-US" w:eastAsia="zh-CN"/>
        </w:rPr>
        <w:t>probe</w:t>
      </w:r>
      <w:r>
        <w:rPr>
          <w:rFonts w:hint="eastAsia"/>
          <w:highlight w:val="none"/>
        </w:rPr>
        <w:t xml:space="preserve"> field gain, which is not possible in uniform media. In the third work, Spontaneously Generated Coherence (SGC) is used to build a gain atom system with incoherent pumping fields, and a unidirectional reflectance band with one side approaching zero and the other side magnified by nearly 250 times is achieved. In contrast, the SGC effect can reduce the number of lattice periods and greatly increase the magnification of non-reciprocal reflection. The research results of this paper will provide more theoretical basis for the development of high efficiency and integrated non-reciprocal photonic devices.</w:t>
      </w:r>
    </w:p>
    <w:p w14:paraId="6649EB95">
      <w:pPr>
        <w:bidi w:val="0"/>
        <w:rPr>
          <w:rFonts w:hint="eastAsia"/>
          <w:highlight w:val="none"/>
        </w:rPr>
      </w:pPr>
    </w:p>
    <w:p w14:paraId="0C63E868">
      <w:pPr>
        <w:spacing w:line="360" w:lineRule="auto"/>
        <w:ind w:firstLine="482" w:firstLineChars="200"/>
        <w:jc w:val="left"/>
        <w:rPr>
          <w:rFonts w:ascii="Times New Roman" w:hAnsi="Times New Roman" w:eastAsia="宋体" w:cs="Times New Roman"/>
          <w:bCs/>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Keywords</w:t>
      </w:r>
      <w:r>
        <w:rPr>
          <w:rFonts w:hint="eastAsia" w:cs="Times New Roman"/>
          <w:bCs/>
          <w:color w:val="000000" w:themeColor="text1"/>
          <w:sz w:val="24"/>
          <w:szCs w:val="24"/>
          <w:highlight w:val="none"/>
          <w:lang w:eastAsia="zh-CN"/>
          <w14:textFill>
            <w14:solidFill>
              <w14:schemeClr w14:val="tx1"/>
            </w14:solidFill>
          </w14:textFill>
        </w:rPr>
        <w:t>：</w:t>
      </w:r>
      <w:r>
        <w:rPr>
          <w:rFonts w:ascii="Times New Roman" w:hAnsi="Times New Roman" w:eastAsia="宋体" w:cs="Times New Roman"/>
          <w:bCs/>
          <w:color w:val="000000" w:themeColor="text1"/>
          <w:sz w:val="24"/>
          <w:szCs w:val="24"/>
          <w:highlight w:val="none"/>
          <w14:textFill>
            <w14:solidFill>
              <w14:schemeClr w14:val="tx1"/>
            </w14:solidFill>
          </w14:textFill>
        </w:rPr>
        <w:t>optical nonreciprocity</w:t>
      </w:r>
      <w:r>
        <w:rPr>
          <w:rFonts w:hint="eastAsia" w:ascii="Times New Roman" w:hAnsi="Times New Roman" w:eastAsia="宋体" w:cs="Times New Roman"/>
          <w:bCs/>
          <w:color w:val="000000" w:themeColor="text1"/>
          <w:sz w:val="24"/>
          <w:szCs w:val="24"/>
          <w:highlight w:val="none"/>
          <w:lang w:eastAsia="zh-CN"/>
          <w14:textFill>
            <w14:solidFill>
              <w14:schemeClr w14:val="tx1"/>
            </w14:solidFill>
          </w14:textFill>
        </w:rPr>
        <w:t>;</w:t>
      </w:r>
      <w:r>
        <w:rPr>
          <w:rFonts w:ascii="Times New Roman" w:hAnsi="Times New Roman" w:eastAsia="宋体" w:cs="Times New Roman"/>
          <w:bCs/>
          <w:color w:val="000000" w:themeColor="text1"/>
          <w:sz w:val="24"/>
          <w:szCs w:val="24"/>
          <w:highlight w:val="none"/>
          <w14:textFill>
            <w14:solidFill>
              <w14:schemeClr w14:val="tx1"/>
            </w14:solidFill>
          </w14:textFill>
        </w:rPr>
        <w:t xml:space="preserve"> </w:t>
      </w:r>
      <w:r>
        <w:rPr>
          <w:rFonts w:hint="eastAsia" w:cs="Times New Roman"/>
          <w:bCs/>
          <w:color w:val="000000" w:themeColor="text1"/>
          <w:sz w:val="24"/>
          <w:szCs w:val="24"/>
          <w:highlight w:val="none"/>
          <w:lang w:val="en-US" w:eastAsia="zh-CN"/>
          <w14:textFill>
            <w14:solidFill>
              <w14:schemeClr w14:val="tx1"/>
            </w14:solidFill>
          </w14:textFill>
        </w:rPr>
        <w:t>s</w:t>
      </w:r>
      <w:r>
        <w:rPr>
          <w:rFonts w:hint="eastAsia" w:ascii="Times New Roman" w:hAnsi="Times New Roman" w:eastAsia="宋体" w:cs="Times New Roman"/>
          <w:bCs/>
          <w:color w:val="000000" w:themeColor="text1"/>
          <w:sz w:val="24"/>
          <w:szCs w:val="24"/>
          <w:highlight w:val="none"/>
          <w14:textFill>
            <w14:solidFill>
              <w14:schemeClr w14:val="tx1"/>
            </w14:solidFill>
          </w14:textFill>
        </w:rPr>
        <w:t xml:space="preserve">ymmetry </w:t>
      </w:r>
      <w:r>
        <w:rPr>
          <w:rFonts w:hint="eastAsia" w:cs="Times New Roman"/>
          <w:bCs/>
          <w:color w:val="000000" w:themeColor="text1"/>
          <w:sz w:val="24"/>
          <w:szCs w:val="24"/>
          <w:highlight w:val="none"/>
          <w:lang w:val="en-US" w:eastAsia="zh-CN"/>
          <w14:textFill>
            <w14:solidFill>
              <w14:schemeClr w14:val="tx1"/>
            </w14:solidFill>
          </w14:textFill>
        </w:rPr>
        <w:t>b</w:t>
      </w:r>
      <w:r>
        <w:rPr>
          <w:rFonts w:hint="eastAsia" w:ascii="Times New Roman" w:hAnsi="Times New Roman" w:eastAsia="宋体" w:cs="Times New Roman"/>
          <w:bCs/>
          <w:color w:val="000000" w:themeColor="text1"/>
          <w:sz w:val="24"/>
          <w:szCs w:val="24"/>
          <w:highlight w:val="none"/>
          <w14:textFill>
            <w14:solidFill>
              <w14:schemeClr w14:val="tx1"/>
            </w14:solidFill>
          </w14:textFill>
        </w:rPr>
        <w:t xml:space="preserve">reaking </w:t>
      </w:r>
      <w:r>
        <w:rPr>
          <w:rFonts w:hint="eastAsia" w:cs="Times New Roman"/>
          <w:bCs/>
          <w:color w:val="000000" w:themeColor="text1"/>
          <w:sz w:val="24"/>
          <w:szCs w:val="24"/>
          <w:highlight w:val="none"/>
          <w:lang w:val="en-US" w:eastAsia="zh-CN"/>
          <w14:textFill>
            <w14:solidFill>
              <w14:schemeClr w14:val="tx1"/>
            </w14:solidFill>
          </w14:textFill>
        </w:rPr>
        <w:t>e</w:t>
      </w:r>
      <w:r>
        <w:rPr>
          <w:rFonts w:hint="eastAsia" w:ascii="Times New Roman" w:hAnsi="Times New Roman" w:eastAsia="宋体" w:cs="Times New Roman"/>
          <w:bCs/>
          <w:color w:val="000000" w:themeColor="text1"/>
          <w:sz w:val="24"/>
          <w:szCs w:val="24"/>
          <w:highlight w:val="none"/>
          <w14:textFill>
            <w14:solidFill>
              <w14:schemeClr w14:val="tx1"/>
            </w14:solidFill>
          </w14:textFill>
        </w:rPr>
        <w:t>ffect</w:t>
      </w:r>
      <w:r>
        <w:rPr>
          <w:rFonts w:hint="eastAsia" w:cs="Times New Roman"/>
          <w:bCs/>
          <w:color w:val="000000" w:themeColor="text1"/>
          <w:sz w:val="24"/>
          <w:szCs w:val="24"/>
          <w:highlight w:val="none"/>
          <w:lang w:val="en-US" w:eastAsia="zh-CN"/>
          <w14:textFill>
            <w14:solidFill>
              <w14:schemeClr w14:val="tx1"/>
            </w14:solidFill>
          </w14:textFill>
        </w:rPr>
        <w:t xml:space="preserve">; defective atomic optical lattice; </w:t>
      </w:r>
      <w:r>
        <w:rPr>
          <w:rFonts w:ascii="Times New Roman" w:hAnsi="Times New Roman" w:eastAsia="宋体" w:cs="Times New Roman"/>
          <w:bCs/>
          <w:color w:val="000000" w:themeColor="text1"/>
          <w:sz w:val="24"/>
          <w:szCs w:val="24"/>
          <w:highlight w:val="none"/>
          <w14:textFill>
            <w14:solidFill>
              <w14:schemeClr w14:val="tx1"/>
            </w14:solidFill>
          </w14:textFill>
        </w:rPr>
        <w:t>spontaneous emission coherence</w:t>
      </w:r>
    </w:p>
    <w:p w14:paraId="0CC5274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F39C">
    <w:pPr>
      <w:tabs>
        <w:tab w:val="left" w:pos="4977"/>
      </w:tabs>
      <w:spacing w:line="177" w:lineRule="auto"/>
      <w:ind w:left="4311"/>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9ED1A5">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3A9ED1A5">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F987C">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AFE093">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6EAFE093">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1C765">
    <w:pPr>
      <w:widowControl w:val="0"/>
      <w:pBdr>
        <w:top w:val="none" w:color="auto" w:sz="0" w:space="1"/>
        <w:left w:val="none" w:color="auto" w:sz="0" w:space="4"/>
        <w:bottom w:val="none" w:color="auto" w:sz="0" w:space="1"/>
        <w:right w:val="none" w:color="auto" w:sz="0" w:space="4"/>
        <w:between w:val="none" w:color="auto" w:sz="0" w:space="0"/>
      </w:pBdr>
      <w:spacing w:before="18" w:line="221" w:lineRule="auto"/>
      <w:ind w:left="0" w:leftChars="0" w:firstLine="0" w:firstLineChars="0"/>
      <w:jc w:val="center"/>
      <w:rPr>
        <w:rFonts w:hint="default" w:ascii="宋体" w:hAnsi="宋体" w:eastAsia="宋体" w:cs="宋体"/>
        <w:sz w:val="21"/>
        <w:szCs w:val="21"/>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8A6BD6"/>
    <w:rsid w:val="355019B9"/>
    <w:rsid w:val="59D84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5"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482"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qFormat/>
    <w:uiPriority w:val="5"/>
    <w:pPr>
      <w:keepNext/>
      <w:keepLines/>
      <w:pageBreakBefore/>
      <w:widowControl/>
      <w:pBdr>
        <w:top w:val="none" w:color="auto" w:sz="0" w:space="1"/>
        <w:left w:val="none" w:color="auto" w:sz="0" w:space="4"/>
        <w:bottom w:val="none" w:color="30C0B4" w:themeColor="accent5" w:sz="0" w:space="1"/>
        <w:right w:val="none" w:color="auto" w:sz="0" w:space="4"/>
      </w:pBdr>
      <w:spacing w:before="560" w:after="280" w:line="360" w:lineRule="auto"/>
      <w:ind w:firstLine="0" w:firstLineChars="0"/>
      <w:contextualSpacing/>
      <w:jc w:val="center"/>
      <w:outlineLvl w:val="0"/>
    </w:pPr>
    <w:rPr>
      <w:rFonts w:eastAsia="黑体" w:cstheme="majorBidi"/>
      <w:bCs/>
      <w:color w:val="000000" w:themeColor="text1"/>
      <w:kern w:val="28"/>
      <w:sz w:val="32"/>
      <w:szCs w:val="30"/>
      <w14:textFill>
        <w14:solidFill>
          <w14:schemeClr w14:val="tx1"/>
        </w14:solidFill>
      </w14:textFill>
      <w14:ligatures w14:val="standard"/>
      <w14:numForm w14:val="oldStyle"/>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2024-12-19T01:11:00Z</dcterms:created>
  <dc:creator>徐琼怡</dc:creator>
  <cp:lastModifiedBy>废乜欢辣</cp:lastModifiedBy>
  <dcterms:modified xsi:type="dcterms:W3CDTF">2026-06-23T08:36:57Z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CBAC20092B154ED184C2A837EF72A09B_12</vt:lpwstr>
  </property>
  <property fmtid="{D5CDD505-2E9C-101B-9397-08002B2CF9AE}" pid="4" name="KSOTemplateDocerSaveRecord">
    <vt:lpwstr>eyJoZGlkIjoiMWUwM2M0YTEyMWNkODhlODVmNGRhNDg3YjM2NWI0MjIiLCJ1c2VySWQiOiIxNzg4NzY5NDg5In0=</vt:lpwstr>
  </property>
</Properties>
</file>