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lang w:val="en-US" w:eastAsia="zh-CN"/>
        </w:rPr>
        <w:t>2023</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 xml:space="preserve">  </w:t>
      </w:r>
      <w:r>
        <w:rPr>
          <w:rFonts w:hint="eastAsia"/>
          <w:sz w:val="28"/>
          <w:u w:val="single"/>
        </w:rPr>
        <w:t xml:space="preserve"> </w:t>
      </w:r>
      <w:r>
        <w:rPr>
          <w:rFonts w:hint="eastAsia"/>
          <w:sz w:val="28"/>
          <w:u w:val="single"/>
          <w:lang w:val="en-US" w:eastAsia="zh-CN"/>
        </w:rPr>
        <w:t>海南师范大学</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sz w:val="30"/>
          <w:u w:val="single"/>
          <w:lang w:val="en-US" w:eastAsia="zh-CN"/>
        </w:rPr>
        <w:t>杨伟业</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r>
        <w:rPr>
          <w:rFonts w:hint="eastAsia"/>
          <w:sz w:val="30"/>
          <w:u w:val="single"/>
          <w:lang w:val="en-US" w:eastAsia="zh-CN"/>
        </w:rPr>
        <w:t xml:space="preserve">  </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讲师</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u w:val="single"/>
        </w:rPr>
      </w:pP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物理学</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rFonts w:hint="eastAsia" w:eastAsiaTheme="minorEastAsia"/>
          <w:sz w:val="24"/>
          <w:lang w:val="en-US" w:eastAsia="zh-CN"/>
        </w:rPr>
      </w:pPr>
      <w:r>
        <w:rPr>
          <w:rFonts w:hint="eastAsia"/>
          <w:sz w:val="24"/>
          <w:lang w:val="en-US" w:eastAsia="zh-CN"/>
        </w:rPr>
        <w:t xml:space="preserve"> </w:t>
      </w:r>
    </w:p>
    <w:p>
      <w:pPr>
        <w:ind w:firstLine="1920" w:firstLineChars="800"/>
        <w:rPr>
          <w:sz w:val="24"/>
        </w:rPr>
      </w:pPr>
    </w:p>
    <w:p>
      <w:pPr>
        <w:ind w:firstLine="1920" w:firstLineChars="800"/>
        <w:rPr>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教学科研型副教授</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r>
        <w:rPr>
          <w:rFonts w:hint="eastAsia"/>
          <w:sz w:val="24"/>
          <w:u w:val="single"/>
          <w:lang w:val="en-US" w:eastAsia="zh-CN"/>
        </w:rPr>
        <w:t xml:space="preserve"> </w:t>
      </w:r>
      <w:bookmarkStart w:id="0" w:name="_GoBack"/>
      <w:bookmarkEnd w:id="0"/>
      <w:r>
        <w:rPr>
          <w:rFonts w:hint="eastAsia"/>
          <w:sz w:val="24"/>
          <w:u w:val="single"/>
        </w:rPr>
        <w:t xml:space="preserve"> </w:t>
      </w:r>
      <w:r>
        <w:rPr>
          <w:rFonts w:hint="eastAsia"/>
          <w:sz w:val="24"/>
          <w:u w:val="single"/>
          <w:lang w:val="en-US" w:eastAsia="zh-CN"/>
        </w:rPr>
        <w:t xml:space="preserve"> </w:t>
      </w:r>
      <w:r>
        <w:rPr>
          <w:rFonts w:hint="eastAsia"/>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sz w:val="24"/>
        </w:rPr>
      </w:pPr>
      <w:r>
        <w:rPr>
          <w:rFonts w:hint="eastAsia"/>
          <w:sz w:val="24"/>
        </w:rPr>
        <w:t xml:space="preserve">填表时间：  </w:t>
      </w:r>
      <w:r>
        <w:rPr>
          <w:rFonts w:hint="eastAsia"/>
          <w:sz w:val="24"/>
          <w:lang w:val="en-US" w:eastAsia="zh-CN"/>
        </w:rPr>
        <w:t>2024</w:t>
      </w:r>
      <w:r>
        <w:rPr>
          <w:rFonts w:hint="eastAsia"/>
          <w:sz w:val="24"/>
        </w:rPr>
        <w:t xml:space="preserve">年   </w:t>
      </w:r>
      <w:r>
        <w:rPr>
          <w:rFonts w:hint="eastAsia"/>
          <w:sz w:val="24"/>
          <w:lang w:val="en-US" w:eastAsia="zh-CN"/>
        </w:rPr>
        <w:t>10</w:t>
      </w:r>
      <w:r>
        <w:rPr>
          <w:rFonts w:hint="eastAsia"/>
          <w:sz w:val="24"/>
        </w:rPr>
        <w:t xml:space="preserve">月  </w:t>
      </w:r>
      <w:r>
        <w:rPr>
          <w:rFonts w:hint="eastAsia"/>
          <w:sz w:val="24"/>
          <w:lang w:val="en-US" w:eastAsia="zh-CN"/>
        </w:rPr>
        <w:t>11</w:t>
      </w:r>
      <w:r>
        <w:rPr>
          <w:rFonts w:hint="eastAsia"/>
          <w:sz w:val="24"/>
        </w:rPr>
        <w:t xml:space="preserve"> 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ascii="仿宋_GB2312" w:eastAsia="仿宋_GB2312"/>
          <w:sz w:val="32"/>
        </w:rPr>
      </w:pPr>
      <w:r>
        <w:rPr>
          <w:rFonts w:hint="eastAsia" w:ascii="仿宋_GB2312" w:eastAsia="仿宋_GB2312"/>
          <w:sz w:val="32"/>
        </w:rPr>
        <w:t>1.本表供本校专业技术人员评审高校教师系列专业技术资格时使用。１—17页由申报者填写，第4页中思想品德鉴定和师德师风表现由所在单位填写并盖章。17—20页由二级学院评审工作委员会或职称办填写。填写内容应经人事部门审核认可，编号由人事（职改）部门统一编制。</w:t>
      </w:r>
    </w:p>
    <w:p>
      <w:pPr>
        <w:spacing w:line="540" w:lineRule="exact"/>
        <w:ind w:firstLine="640" w:firstLineChars="200"/>
        <w:rPr>
          <w:rFonts w:ascii="仿宋_GB2312" w:eastAsia="仿宋_GB2312"/>
          <w:sz w:val="32"/>
        </w:rPr>
      </w:pPr>
      <w:r>
        <w:rPr>
          <w:rFonts w:hint="eastAsia" w:ascii="仿宋_GB2312" w:eastAsia="仿宋_GB2312"/>
          <w:sz w:val="32"/>
        </w:rPr>
        <w:t>2.年月日一律用公历阿拉伯数字填字。</w:t>
      </w:r>
    </w:p>
    <w:p>
      <w:pPr>
        <w:spacing w:line="540" w:lineRule="exact"/>
        <w:ind w:firstLine="640" w:firstLineChars="200"/>
        <w:rPr>
          <w:rFonts w:ascii="仿宋_GB2312" w:eastAsia="仿宋_GB2312"/>
        </w:rPr>
      </w:pPr>
      <w:r>
        <w:rPr>
          <w:rFonts w:hint="eastAsia" w:ascii="仿宋_GB2312" w:eastAsia="仿宋_GB2312"/>
          <w:sz w:val="32"/>
        </w:rPr>
        <w:t>3.“相片”一律用近期一寸正面半身免冠照。</w:t>
      </w:r>
    </w:p>
    <w:p>
      <w:pPr>
        <w:spacing w:line="540" w:lineRule="exact"/>
        <w:ind w:firstLine="640" w:firstLineChars="200"/>
        <w:rPr>
          <w:rFonts w:ascii="仿宋_GB2312" w:eastAsia="仿宋_GB2312"/>
          <w:sz w:val="32"/>
        </w:rPr>
      </w:pPr>
      <w:r>
        <w:rPr>
          <w:rFonts w:hint="eastAsia" w:ascii="仿宋_GB2312" w:eastAsia="仿宋_GB2312"/>
          <w:sz w:val="32"/>
        </w:rPr>
        <w:t>4.“毕业学校”填毕业学校当时的全称。</w:t>
      </w:r>
    </w:p>
    <w:p>
      <w:pPr>
        <w:spacing w:line="540" w:lineRule="exact"/>
        <w:ind w:firstLine="640" w:firstLineChars="200"/>
        <w:rPr>
          <w:rFonts w:ascii="仿宋_GB2312" w:eastAsia="仿宋_GB2312"/>
          <w:sz w:val="32"/>
        </w:rPr>
      </w:pPr>
      <w:r>
        <w:rPr>
          <w:rFonts w:hint="eastAsia" w:ascii="仿宋_GB2312" w:eastAsia="仿宋_GB2312"/>
          <w:sz w:val="32"/>
        </w:rPr>
        <w:t>5.晋升形式：正常晋升或破格晋升或转评。</w:t>
      </w:r>
    </w:p>
    <w:p>
      <w:pPr>
        <w:spacing w:line="540" w:lineRule="exact"/>
        <w:ind w:firstLine="640" w:firstLineChars="200"/>
        <w:rPr>
          <w:rFonts w:ascii="仿宋_GB2312" w:eastAsia="仿宋_GB2312"/>
          <w:sz w:val="32"/>
        </w:rPr>
      </w:pPr>
      <w:r>
        <w:rPr>
          <w:rFonts w:hint="eastAsia" w:ascii="仿宋_GB2312" w:eastAsia="仿宋_GB2312"/>
          <w:sz w:val="32"/>
        </w:rPr>
        <w:t>6.申报资格名称有：讲师、教学为主型副教授、教学科研型副教授、双师型副教授、教学为主型教授、教学科研型教授、双师型教授。</w:t>
      </w:r>
    </w:p>
    <w:p>
      <w:pPr>
        <w:spacing w:line="540" w:lineRule="exact"/>
        <w:ind w:firstLine="640" w:firstLineChars="200"/>
        <w:rPr>
          <w:rFonts w:ascii="仿宋_GB2312" w:eastAsia="仿宋_GB2312"/>
          <w:sz w:val="32"/>
        </w:rPr>
      </w:pPr>
      <w:r>
        <w:rPr>
          <w:rFonts w:hint="eastAsia" w:ascii="仿宋_GB2312" w:eastAsia="仿宋_GB2312"/>
          <w:sz w:val="32"/>
        </w:rPr>
        <w:t>7.聘任年限应足年，按“5年6个月”格式填写，一年按12个月计算，如2017年3月起聘，到2018年12月，任职年限就只有一年10个月，不到二年。</w:t>
      </w:r>
    </w:p>
    <w:p>
      <w:pPr>
        <w:spacing w:line="540" w:lineRule="exact"/>
        <w:ind w:firstLine="640" w:firstLineChars="200"/>
        <w:rPr>
          <w:rFonts w:ascii="仿宋_GB2312" w:eastAsia="仿宋_GB2312"/>
          <w:sz w:val="32"/>
        </w:rPr>
      </w:pPr>
      <w:r>
        <w:rPr>
          <w:rFonts w:hint="eastAsia" w:ascii="仿宋_GB2312" w:eastAsia="仿宋_GB2312"/>
          <w:sz w:val="32"/>
        </w:rPr>
        <w:t>8.学年及学期表达：如2017-2018(一)、2015-2016(二)。</w:t>
      </w:r>
    </w:p>
    <w:p>
      <w:pPr>
        <w:spacing w:line="540" w:lineRule="exact"/>
        <w:ind w:firstLine="643" w:firstLineChars="200"/>
        <w:rPr>
          <w:rFonts w:ascii="仿宋_GB2312" w:eastAsia="仿宋_GB2312"/>
          <w:b/>
          <w:sz w:val="32"/>
          <w:u w:val="single"/>
        </w:rPr>
      </w:pPr>
      <w:r>
        <w:rPr>
          <w:rFonts w:hint="eastAsia" w:ascii="仿宋_GB2312" w:eastAsia="仿宋_GB2312"/>
          <w:b/>
          <w:sz w:val="32"/>
          <w:u w:val="single"/>
        </w:rPr>
        <w:t>9.如填写表格内容较多，可自行增加行，没有内容的表格可删减行，但至少保留表头及一行，不可全删除。</w:t>
      </w:r>
    </w:p>
    <w:p>
      <w:pPr>
        <w:spacing w:line="540" w:lineRule="exact"/>
        <w:ind w:firstLine="640" w:firstLineChars="200"/>
        <w:rPr>
          <w:rFonts w:ascii="仿宋_GB2312" w:eastAsia="仿宋_GB2312"/>
          <w:sz w:val="32"/>
        </w:rPr>
      </w:pPr>
      <w:r>
        <w:rPr>
          <w:rFonts w:hint="eastAsia" w:ascii="仿宋_GB2312" w:eastAsia="仿宋_GB2312"/>
          <w:sz w:val="32"/>
        </w:rPr>
        <w:t>10.国际人才依据《海南师范大学国际人才申报认定、高聘与评审高级职称管理办法（试行）》（〔2022〕57号）进行申报，评审条件依照《海南师范大学高校教师系列专业技术职务评审管理办法》（〔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widowControl/>
        <w:jc w:val="left"/>
        <w:rPr>
          <w:b/>
          <w:sz w:val="32"/>
          <w:szCs w:val="32"/>
        </w:rPr>
      </w:pPr>
      <w:r>
        <w:rPr>
          <w:b/>
          <w:sz w:val="32"/>
          <w:szCs w:val="32"/>
        </w:rPr>
        <w:br w:type="page"/>
      </w:r>
    </w:p>
    <w:p>
      <w:pPr>
        <w:jc w:val="center"/>
        <w:rPr>
          <w:rFonts w:ascii="黑体" w:hAnsi="黑体" w:eastAsia="黑体"/>
          <w:sz w:val="32"/>
          <w:szCs w:val="32"/>
        </w:rPr>
      </w:pPr>
      <w:r>
        <w:rPr>
          <w:rFonts w:hint="eastAsia" w:ascii="黑体" w:hAnsi="黑体" w:eastAsia="黑体"/>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2"/>
        <w:gridCol w:w="355"/>
        <w:gridCol w:w="209"/>
        <w:gridCol w:w="425"/>
        <w:gridCol w:w="283"/>
        <w:gridCol w:w="142"/>
        <w:gridCol w:w="571"/>
        <w:gridCol w:w="279"/>
        <w:gridCol w:w="288"/>
        <w:gridCol w:w="708"/>
        <w:gridCol w:w="285"/>
        <w:gridCol w:w="70"/>
        <w:gridCol w:w="800"/>
        <w:gridCol w:w="263"/>
        <w:gridCol w:w="567"/>
        <w:gridCol w:w="142"/>
        <w:gridCol w:w="146"/>
        <w:gridCol w:w="280"/>
        <w:gridCol w:w="280"/>
        <w:gridCol w:w="574"/>
        <w:gridCol w:w="283"/>
        <w:gridCol w:w="57"/>
        <w:gridCol w:w="369"/>
        <w:gridCol w:w="1133"/>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姓名</w:t>
            </w:r>
          </w:p>
        </w:tc>
        <w:tc>
          <w:tcPr>
            <w:tcW w:w="1414" w:type="dxa"/>
            <w:gridSpan w:val="5"/>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杨伟业</w:t>
            </w:r>
          </w:p>
        </w:tc>
        <w:tc>
          <w:tcPr>
            <w:tcW w:w="57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1985年11月</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政治</w:t>
            </w:r>
          </w:p>
          <w:p>
            <w:pPr>
              <w:widowControl/>
              <w:jc w:val="center"/>
              <w:rPr>
                <w:rFonts w:ascii="宋体" w:hAnsi="宋体" w:cs="Arial"/>
                <w:kern w:val="0"/>
                <w:szCs w:val="21"/>
              </w:rPr>
            </w:pPr>
            <w:r>
              <w:rPr>
                <w:rFonts w:hint="eastAsia" w:ascii="宋体" w:hAnsi="宋体" w:cs="Arial"/>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中共党员</w:t>
            </w:r>
          </w:p>
        </w:tc>
        <w:tc>
          <w:tcPr>
            <w:tcW w:w="1842" w:type="dxa"/>
            <w:gridSpan w:val="4"/>
            <w:vMerge w:val="restart"/>
            <w:tcBorders>
              <w:top w:val="single" w:color="000000" w:sz="4" w:space="0"/>
              <w:left w:val="nil"/>
              <w:right w:val="single" w:color="000000" w:sz="4" w:space="0"/>
            </w:tcBorders>
            <w:vAlign w:val="center"/>
          </w:tcPr>
          <w:p>
            <w:pPr>
              <w:widowControl/>
              <w:jc w:val="center"/>
              <w:rPr>
                <w:rFonts w:hint="eastAsia" w:ascii="宋体" w:hAnsi="宋体" w:cs="Arial" w:eastAsiaTheme="minorEastAsia"/>
                <w:kern w:val="0"/>
                <w:szCs w:val="21"/>
                <w:lang w:eastAsia="zh-CN"/>
              </w:rPr>
            </w:pPr>
            <w:r>
              <w:rPr>
                <w:rFonts w:hint="eastAsia" w:ascii="宋体" w:hAnsi="宋体" w:cs="Arial" w:eastAsiaTheme="minorEastAsia"/>
                <w:kern w:val="0"/>
                <w:szCs w:val="21"/>
                <w:lang w:eastAsia="zh-CN"/>
              </w:rPr>
              <w:drawing>
                <wp:inline distT="0" distB="0" distL="114300" distR="114300">
                  <wp:extent cx="1031240" cy="1375410"/>
                  <wp:effectExtent l="0" t="0" r="5080" b="11430"/>
                  <wp:docPr id="1" name="图片 1" descr="杨伟业-白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杨伟业-白底"/>
                          <pic:cNvPicPr>
                            <a:picLocks noChangeAspect="1"/>
                          </pic:cNvPicPr>
                        </pic:nvPicPr>
                        <pic:blipFill>
                          <a:blip r:embed="rId6"/>
                          <a:stretch>
                            <a:fillRect/>
                          </a:stretch>
                        </pic:blipFill>
                        <pic:spPr>
                          <a:xfrm>
                            <a:off x="0" y="0"/>
                            <a:ext cx="1031240" cy="1375410"/>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教师资格证种类及学科</w:t>
            </w:r>
          </w:p>
        </w:tc>
        <w:tc>
          <w:tcPr>
            <w:tcW w:w="2264"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高等学校教师资格，物理学</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eastAsia="zh-CN"/>
              </w:rPr>
            </w:pPr>
            <w:r>
              <w:rPr>
                <w:rFonts w:hint="eastAsia" w:ascii="宋体" w:hAnsi="宋体" w:cs="Arial"/>
                <w:kern w:val="0"/>
                <w:szCs w:val="21"/>
              </w:rPr>
              <w:t>身份证</w:t>
            </w:r>
          </w:p>
          <w:p>
            <w:pPr>
              <w:widowControl/>
              <w:jc w:val="center"/>
              <w:rPr>
                <w:rFonts w:ascii="宋体" w:hAnsi="宋体" w:cs="Arial"/>
                <w:kern w:val="0"/>
                <w:szCs w:val="21"/>
              </w:rPr>
            </w:pPr>
            <w:r>
              <w:rPr>
                <w:rFonts w:hint="eastAsia" w:ascii="宋体" w:hAnsi="宋体" w:cs="Arial"/>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35"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最高学历</w:t>
            </w:r>
          </w:p>
          <w:p>
            <w:pPr>
              <w:widowControl/>
              <w:jc w:val="center"/>
              <w:rPr>
                <w:rFonts w:ascii="宋体" w:hAnsi="宋体" w:cs="Arial"/>
                <w:kern w:val="0"/>
                <w:szCs w:val="21"/>
              </w:rPr>
            </w:pPr>
            <w:r>
              <w:rPr>
                <w:rFonts w:hint="eastAsia" w:ascii="宋体" w:hAnsi="宋体" w:cs="Arial"/>
                <w:kern w:val="0"/>
                <w:szCs w:val="21"/>
              </w:rPr>
              <w:t>毕业院校</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云南师范大学</w:t>
            </w:r>
          </w:p>
        </w:tc>
        <w:tc>
          <w:tcPr>
            <w:tcW w:w="850"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eastAsia="zh-CN"/>
              </w:rPr>
            </w:pPr>
            <w:r>
              <w:rPr>
                <w:rFonts w:hint="eastAsia" w:ascii="宋体" w:hAnsi="宋体" w:cs="Arial"/>
                <w:kern w:val="0"/>
                <w:szCs w:val="21"/>
              </w:rPr>
              <w:t>学历</w:t>
            </w:r>
          </w:p>
          <w:p>
            <w:pPr>
              <w:widowControl/>
              <w:jc w:val="center"/>
              <w:rPr>
                <w:rFonts w:ascii="宋体" w:hAnsi="宋体" w:cs="Arial"/>
                <w:kern w:val="0"/>
                <w:szCs w:val="21"/>
              </w:rPr>
            </w:pPr>
            <w:r>
              <w:rPr>
                <w:rFonts w:hint="eastAsia" w:ascii="宋体" w:hAnsi="宋体" w:cs="Arial"/>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博士研究生</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光学工程</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现工作单位</w:t>
            </w:r>
          </w:p>
        </w:tc>
        <w:tc>
          <w:tcPr>
            <w:tcW w:w="1414" w:type="dxa"/>
            <w:gridSpan w:val="5"/>
            <w:tcBorders>
              <w:top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海南师范大学</w:t>
            </w:r>
          </w:p>
        </w:tc>
        <w:tc>
          <w:tcPr>
            <w:tcW w:w="850" w:type="dxa"/>
            <w:gridSpan w:val="2"/>
            <w:vAlign w:val="center"/>
          </w:tcPr>
          <w:p>
            <w:pPr>
              <w:widowControl/>
              <w:jc w:val="center"/>
              <w:rPr>
                <w:rFonts w:ascii="宋体" w:hAnsi="宋体" w:cs="Arial"/>
                <w:kern w:val="0"/>
                <w:szCs w:val="21"/>
              </w:rPr>
            </w:pPr>
            <w:r>
              <w:rPr>
                <w:rFonts w:hint="eastAsia" w:ascii="宋体" w:hAnsi="宋体" w:cs="Arial"/>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2008.8</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正常晋升</w:t>
            </w:r>
          </w:p>
        </w:tc>
      </w:tr>
      <w:tr>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取得现专业技术资格及时间</w:t>
            </w:r>
          </w:p>
        </w:tc>
        <w:tc>
          <w:tcPr>
            <w:tcW w:w="2271" w:type="dxa"/>
            <w:gridSpan w:val="6"/>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讲师，2016年12月30日</w:t>
            </w: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申请学科组名称</w:t>
            </w:r>
          </w:p>
          <w:p>
            <w:pPr>
              <w:widowControl/>
              <w:jc w:val="center"/>
              <w:rPr>
                <w:rFonts w:ascii="宋体" w:hAnsi="宋体" w:cs="Arial"/>
                <w:kern w:val="0"/>
                <w:szCs w:val="21"/>
              </w:rPr>
            </w:pPr>
            <w:r>
              <w:rPr>
                <w:rFonts w:hint="eastAsia" w:ascii="宋体" w:hAnsi="宋体" w:cs="Arial"/>
                <w:kern w:val="0"/>
                <w:szCs w:val="21"/>
              </w:rPr>
              <w:t>(在相应学科前打</w:t>
            </w:r>
            <w:r>
              <w:rPr>
                <w:rFonts w:hint="eastAsia" w:cs="Arial" w:asciiTheme="minorEastAsia" w:hAnsiTheme="minorEastAsia"/>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kern w:val="0"/>
                <w:szCs w:val="21"/>
              </w:rPr>
            </w:pPr>
            <w:r>
              <w:rPr>
                <w:rFonts w:hint="eastAsia" w:cs="Arial" w:asciiTheme="minorEastAsia" w:hAnsiTheme="minorEastAsia"/>
                <w:kern w:val="0"/>
                <w:szCs w:val="21"/>
              </w:rPr>
              <w:t>□人文社科</w:t>
            </w:r>
            <w:r>
              <w:rPr>
                <w:rFonts w:hint="eastAsia" w:ascii="宋体" w:hAnsi="宋体" w:cs="Arial"/>
                <w:kern w:val="0"/>
                <w:szCs w:val="21"/>
              </w:rPr>
              <w:t>组</w:t>
            </w:r>
            <w:r>
              <w:rPr>
                <w:rFonts w:hint="eastAsia" w:cs="Arial" w:asciiTheme="minorEastAsia" w:hAnsiTheme="minorEastAsia"/>
                <w:kern w:val="0"/>
                <w:szCs w:val="21"/>
              </w:rPr>
              <w:t xml:space="preserve">   </w:t>
            </w:r>
            <w:r>
              <w:rPr>
                <w:rFonts w:hint="eastAsia" w:ascii="宋体" w:hAnsi="宋体" w:cs="Arial"/>
                <w:kern w:val="0"/>
                <w:szCs w:val="21"/>
              </w:rPr>
              <w:t xml:space="preserve"> </w:t>
            </w:r>
            <w:r>
              <w:rPr>
                <w:rFonts w:hint="eastAsia" w:cs="Arial" w:asciiTheme="minorEastAsia" w:hAnsiTheme="minorEastAsia"/>
                <w:kern w:val="0"/>
                <w:szCs w:val="21"/>
                <w:lang w:eastAsia="zh-CN"/>
              </w:rPr>
              <w:t>☑</w:t>
            </w:r>
            <w:r>
              <w:rPr>
                <w:rFonts w:hint="eastAsia" w:cs="Arial" w:asciiTheme="minorEastAsia" w:hAnsiTheme="minorEastAsia"/>
                <w:kern w:val="0"/>
                <w:szCs w:val="21"/>
              </w:rPr>
              <w:t>理工科</w:t>
            </w:r>
            <w:r>
              <w:rPr>
                <w:rFonts w:hint="eastAsia" w:ascii="宋体" w:hAnsi="宋体" w:cs="Arial"/>
                <w:kern w:val="0"/>
                <w:szCs w:val="21"/>
              </w:rPr>
              <w:t>组</w:t>
            </w:r>
          </w:p>
          <w:p>
            <w:pPr>
              <w:widowControl/>
              <w:rPr>
                <w:rFonts w:ascii="宋体" w:hAnsi="宋体" w:cs="Arial"/>
                <w:kern w:val="0"/>
                <w:szCs w:val="21"/>
              </w:rPr>
            </w:pPr>
            <w:r>
              <w:rPr>
                <w:rFonts w:hint="eastAsia" w:cs="Arial" w:asciiTheme="minorEastAsia" w:hAnsiTheme="minorEastAsia"/>
                <w:kern w:val="0"/>
                <w:szCs w:val="21"/>
              </w:rPr>
              <w:t>□</w:t>
            </w:r>
            <w:r>
              <w:rPr>
                <w:rFonts w:hint="eastAsia" w:ascii="宋体" w:hAnsi="宋体" w:cs="Arial"/>
                <w:kern w:val="0"/>
                <w:szCs w:val="21"/>
              </w:rPr>
              <w:t xml:space="preserve">学科教育组    </w:t>
            </w:r>
            <w:r>
              <w:rPr>
                <w:rFonts w:hint="eastAsia" w:cs="Arial" w:asciiTheme="minorEastAsia" w:hAnsiTheme="minorEastAsia"/>
                <w:kern w:val="0"/>
                <w:szCs w:val="21"/>
              </w:rPr>
              <w:t>□</w:t>
            </w:r>
            <w:r>
              <w:rPr>
                <w:rFonts w:hint="eastAsia" w:ascii="宋体" w:hAnsi="宋体" w:cs="Arial"/>
                <w:kern w:val="0"/>
                <w:szCs w:val="21"/>
              </w:rPr>
              <w:t>艺体外组</w:t>
            </w:r>
          </w:p>
          <w:p>
            <w:pPr>
              <w:widowControl/>
              <w:rPr>
                <w:rFonts w:ascii="宋体" w:hAnsi="宋体" w:cs="Arial"/>
                <w:kern w:val="0"/>
                <w:szCs w:val="21"/>
              </w:rPr>
            </w:pPr>
            <w:r>
              <w:rPr>
                <w:rFonts w:hint="eastAsia" w:cs="Arial" w:asciiTheme="minorEastAsia" w:hAnsiTheme="minorEastAsia"/>
                <w:kern w:val="0"/>
                <w:szCs w:val="21"/>
              </w:rPr>
              <w:t>□马克思主义理论</w:t>
            </w:r>
            <w:r>
              <w:rPr>
                <w:rFonts w:hint="eastAsia" w:ascii="宋体" w:hAnsi="宋体" w:cs="Arial"/>
                <w:kern w:val="0"/>
                <w:szCs w:val="21"/>
              </w:rPr>
              <w:t>组</w:t>
            </w:r>
          </w:p>
        </w:tc>
      </w:tr>
      <w:tr>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现任专业技术职务聘任时间及聘任单位</w:t>
            </w:r>
          </w:p>
        </w:tc>
        <w:tc>
          <w:tcPr>
            <w:tcW w:w="2271" w:type="dxa"/>
            <w:gridSpan w:val="6"/>
            <w:tcBorders>
              <w:top w:val="single" w:color="000000" w:sz="4" w:space="0"/>
              <w:left w:val="nil"/>
              <w:bottom w:val="single" w:color="000000" w:sz="4" w:space="0"/>
              <w:right w:val="single" w:color="000000" w:sz="4" w:space="0"/>
            </w:tcBorders>
            <w:vAlign w:val="center"/>
          </w:tcPr>
          <w:p>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时间：</w:t>
            </w:r>
            <w:r>
              <w:rPr>
                <w:rFonts w:hint="eastAsia" w:ascii="宋体" w:hAnsi="宋体" w:cs="Arial"/>
                <w:kern w:val="0"/>
                <w:szCs w:val="21"/>
                <w:lang w:val="en-US" w:eastAsia="zh-CN"/>
              </w:rPr>
              <w:t>2017年1月</w:t>
            </w:r>
          </w:p>
          <w:p>
            <w:pPr>
              <w:widowControl/>
              <w:jc w:val="left"/>
              <w:rPr>
                <w:rFonts w:hint="default" w:ascii="宋体" w:hAnsi="宋体" w:cs="Arial" w:eastAsiaTheme="minorEastAsia"/>
                <w:kern w:val="0"/>
                <w:szCs w:val="21"/>
                <w:lang w:val="en-US" w:eastAsia="zh-CN"/>
              </w:rPr>
            </w:pPr>
            <w:r>
              <w:rPr>
                <w:rFonts w:hint="eastAsia" w:ascii="宋体" w:hAnsi="宋体" w:cs="Arial"/>
                <w:kern w:val="0"/>
                <w:szCs w:val="21"/>
              </w:rPr>
              <w:t>单位：</w:t>
            </w:r>
            <w:r>
              <w:rPr>
                <w:rFonts w:hint="eastAsia" w:ascii="宋体" w:hAnsi="宋体" w:cs="Arial"/>
                <w:kern w:val="0"/>
                <w:szCs w:val="21"/>
                <w:lang w:val="en-US" w:eastAsia="zh-CN"/>
              </w:rPr>
              <w:t>遵义医科大学</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lang w:val="en-US" w:eastAsia="zh-CN"/>
              </w:rPr>
              <w:t>7</w:t>
            </w:r>
            <w:r>
              <w:rPr>
                <w:rFonts w:hint="eastAsia" w:ascii="宋体" w:hAnsi="宋体" w:cs="Arial"/>
                <w:kern w:val="0"/>
                <w:szCs w:val="21"/>
              </w:rPr>
              <w:t>年</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讲师</w:t>
            </w: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高校教师资格证</w:t>
            </w:r>
          </w:p>
          <w:p>
            <w:pPr>
              <w:widowControl/>
              <w:jc w:val="center"/>
              <w:rPr>
                <w:rFonts w:ascii="宋体" w:hAnsi="宋体" w:cs="Arial"/>
                <w:kern w:val="0"/>
                <w:szCs w:val="21"/>
              </w:rPr>
            </w:pPr>
            <w:r>
              <w:rPr>
                <w:rFonts w:hint="eastAsia" w:ascii="宋体" w:hAnsi="宋体" w:cs="Arial"/>
                <w:kern w:val="0"/>
                <w:szCs w:val="21"/>
              </w:rPr>
              <w:t>专业名称</w:t>
            </w:r>
          </w:p>
        </w:tc>
        <w:tc>
          <w:tcPr>
            <w:tcW w:w="3426" w:type="dxa"/>
            <w:gridSpan w:val="9"/>
            <w:tcBorders>
              <w:top w:val="single" w:color="000000" w:sz="4" w:space="0"/>
              <w:left w:val="nil"/>
              <w:bottom w:val="single" w:color="000000" w:sz="4" w:space="0"/>
              <w:right w:val="single" w:color="000000"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申报专业</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物理学</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kern w:val="0"/>
                <w:szCs w:val="21"/>
                <w:lang w:val="en-US" w:eastAsia="zh-CN"/>
              </w:rPr>
            </w:pPr>
            <w:r>
              <w:rPr>
                <w:rFonts w:hint="eastAsia" w:ascii="宋体" w:hAnsi="宋体" w:cs="Arial"/>
                <w:kern w:val="0"/>
                <w:szCs w:val="21"/>
                <w:lang w:val="en-US" w:eastAsia="zh-CN"/>
              </w:rPr>
              <w:t>副教授</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rPr>
              <w:t>(正常及转评不填)</w:t>
            </w:r>
          </w:p>
        </w:tc>
        <w:tc>
          <w:tcPr>
            <w:tcW w:w="7520" w:type="dxa"/>
            <w:gridSpan w:val="20"/>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毕(结肄)业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2019年2-6月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在职</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四川外国语学校</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出国留学高级英语培训</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结业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曾传芳</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2019年9月-2023年6月</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云南师范大学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光学工程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r>
              <w:rPr>
                <w:rFonts w:hint="eastAsia" w:ascii="宋体" w:hAnsi="宋体" w:cs="Arial"/>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r>
              <w:rPr>
                <w:rFonts w:hint="eastAsia" w:ascii="宋体" w:hAnsi="宋体" w:cs="Arial"/>
                <w:kern w:val="0"/>
                <w:szCs w:val="21"/>
                <w:lang w:val="en-US" w:eastAsia="zh-CN"/>
              </w:rPr>
              <w:t>刘应开</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hint="default" w:ascii="宋体" w:hAnsi="宋体" w:cs="Arial" w:eastAsiaTheme="minorEastAsia"/>
                <w:kern w:val="0"/>
                <w:sz w:val="21"/>
                <w:szCs w:val="21"/>
                <w:lang w:val="en-US" w:eastAsia="zh-CN" w:bidi="ar-SA"/>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eastAsiaTheme="minorEastAsia"/>
                <w:kern w:val="0"/>
                <w:sz w:val="21"/>
                <w:szCs w:val="21"/>
                <w:lang w:val="en-US" w:eastAsia="zh-CN" w:bidi="ar-SA"/>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kern w:val="0"/>
                <w:sz w:val="21"/>
                <w:szCs w:val="21"/>
                <w:lang w:val="en-US" w:eastAsia="zh-CN" w:bidi="ar-SA"/>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hint="default" w:ascii="宋体" w:hAnsi="宋体" w:cs="Arial" w:eastAsiaTheme="minorEastAsia"/>
                <w:kern w:val="0"/>
                <w:sz w:val="21"/>
                <w:szCs w:val="21"/>
                <w:lang w:val="en-US" w:eastAsia="zh-CN" w:bidi="ar-SA"/>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5"/>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4"/>
              </w:rPr>
            </w:pPr>
            <w:r>
              <w:rPr>
                <w:rFonts w:hint="eastAsia"/>
                <w:sz w:val="24"/>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4"/>
              </w:rPr>
            </w:pPr>
            <w:r>
              <w:rPr>
                <w:rFonts w:hint="eastAsia"/>
                <w:sz w:val="24"/>
              </w:rPr>
              <w:t>起  止  时  间</w:t>
            </w:r>
          </w:p>
        </w:tc>
        <w:tc>
          <w:tcPr>
            <w:tcW w:w="3265" w:type="dxa"/>
            <w:vAlign w:val="center"/>
          </w:tcPr>
          <w:p>
            <w:pPr>
              <w:jc w:val="center"/>
              <w:rPr>
                <w:sz w:val="24"/>
              </w:rPr>
            </w:pPr>
            <w:r>
              <w:rPr>
                <w:rFonts w:hint="eastAsia"/>
                <w:sz w:val="24"/>
              </w:rPr>
              <w:t>单      位</w:t>
            </w:r>
          </w:p>
        </w:tc>
        <w:tc>
          <w:tcPr>
            <w:tcW w:w="2410" w:type="dxa"/>
            <w:vAlign w:val="center"/>
          </w:tcPr>
          <w:p>
            <w:pPr>
              <w:jc w:val="center"/>
              <w:rPr>
                <w:sz w:val="24"/>
              </w:rPr>
            </w:pPr>
            <w:r>
              <w:rPr>
                <w:rFonts w:hint="eastAsia"/>
                <w:sz w:val="24"/>
              </w:rPr>
              <w:t>从 事 何 专 业</w:t>
            </w:r>
          </w:p>
          <w:p>
            <w:pPr>
              <w:jc w:val="center"/>
              <w:rPr>
                <w:sz w:val="24"/>
              </w:rPr>
            </w:pPr>
            <w:r>
              <w:rPr>
                <w:rFonts w:hint="eastAsia"/>
                <w:sz w:val="24"/>
              </w:rPr>
              <w:t>技  术  工  作</w:t>
            </w:r>
          </w:p>
        </w:tc>
        <w:tc>
          <w:tcPr>
            <w:tcW w:w="1701" w:type="dxa"/>
            <w:vAlign w:val="center"/>
          </w:tcPr>
          <w:p>
            <w:pPr>
              <w:jc w:val="center"/>
              <w:rPr>
                <w:sz w:val="24"/>
              </w:rPr>
            </w:pPr>
            <w:r>
              <w:rPr>
                <w:rFonts w:hint="eastAsia"/>
                <w:sz w:val="24"/>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jc w:val="center"/>
              <w:rPr>
                <w:rFonts w:hint="eastAsia"/>
                <w:szCs w:val="21"/>
              </w:rPr>
            </w:pPr>
            <w:r>
              <w:rPr>
                <w:rFonts w:hint="eastAsia"/>
                <w:szCs w:val="21"/>
                <w:lang w:val="en-US" w:eastAsia="zh-CN"/>
              </w:rPr>
              <w:t>2014</w:t>
            </w:r>
            <w:r>
              <w:rPr>
                <w:rFonts w:hint="eastAsia"/>
                <w:szCs w:val="21"/>
              </w:rPr>
              <w:t xml:space="preserve">年 </w:t>
            </w:r>
            <w:r>
              <w:rPr>
                <w:rFonts w:hint="eastAsia"/>
                <w:szCs w:val="21"/>
                <w:lang w:val="en-US" w:eastAsia="zh-CN"/>
              </w:rPr>
              <w:t>7</w:t>
            </w:r>
            <w:r>
              <w:rPr>
                <w:rFonts w:hint="eastAsia"/>
                <w:szCs w:val="21"/>
              </w:rPr>
              <w:t xml:space="preserve">月— </w:t>
            </w:r>
            <w:r>
              <w:rPr>
                <w:rFonts w:hint="eastAsia"/>
                <w:szCs w:val="21"/>
                <w:lang w:val="en-US" w:eastAsia="zh-CN"/>
              </w:rPr>
              <w:t>2023</w:t>
            </w:r>
            <w:r>
              <w:rPr>
                <w:rFonts w:hint="eastAsia"/>
                <w:szCs w:val="21"/>
              </w:rPr>
              <w:t xml:space="preserve"> 年 </w:t>
            </w:r>
            <w:r>
              <w:rPr>
                <w:rFonts w:hint="eastAsia"/>
                <w:szCs w:val="21"/>
                <w:lang w:val="en-US" w:eastAsia="zh-CN"/>
              </w:rPr>
              <w:t>10</w:t>
            </w:r>
            <w:r>
              <w:rPr>
                <w:rFonts w:hint="eastAsia"/>
                <w:szCs w:val="21"/>
              </w:rPr>
              <w:t>月</w:t>
            </w:r>
          </w:p>
        </w:tc>
        <w:tc>
          <w:tcPr>
            <w:tcW w:w="3265" w:type="dxa"/>
            <w:vAlign w:val="center"/>
          </w:tcPr>
          <w:p>
            <w:pPr>
              <w:jc w:val="center"/>
              <w:rPr>
                <w:rFonts w:hint="default"/>
                <w:szCs w:val="21"/>
                <w:lang w:val="en-US" w:eastAsia="zh-CN"/>
              </w:rPr>
            </w:pPr>
            <w:r>
              <w:rPr>
                <w:rFonts w:hint="eastAsia"/>
                <w:szCs w:val="21"/>
                <w:lang w:val="en-US" w:eastAsia="zh-CN"/>
              </w:rPr>
              <w:t>遵义医科大学</w:t>
            </w:r>
          </w:p>
        </w:tc>
        <w:tc>
          <w:tcPr>
            <w:tcW w:w="2410" w:type="dxa"/>
            <w:vAlign w:val="center"/>
          </w:tcPr>
          <w:p>
            <w:pPr>
              <w:jc w:val="center"/>
              <w:rPr>
                <w:rFonts w:hint="default"/>
                <w:szCs w:val="21"/>
                <w:lang w:val="en-US" w:eastAsia="zh-CN"/>
              </w:rPr>
            </w:pPr>
            <w:r>
              <w:rPr>
                <w:rFonts w:hint="eastAsia"/>
                <w:szCs w:val="21"/>
                <w:lang w:val="en-US" w:eastAsia="zh-CN"/>
              </w:rPr>
              <w:t>物理教学</w:t>
            </w:r>
          </w:p>
        </w:tc>
        <w:tc>
          <w:tcPr>
            <w:tcW w:w="1701" w:type="dxa"/>
            <w:vAlign w:val="center"/>
          </w:tcPr>
          <w:p>
            <w:pPr>
              <w:jc w:val="center"/>
              <w:rPr>
                <w:rFonts w:hint="eastAsia"/>
                <w:szCs w:val="21"/>
                <w:lang w:val="en-US" w:eastAsia="zh-CN"/>
              </w:rPr>
            </w:pPr>
            <w:r>
              <w:rPr>
                <w:rFonts w:hint="eastAsia"/>
                <w:szCs w:val="21"/>
                <w:lang w:val="en-US" w:eastAsia="zh-CN"/>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center"/>
              <w:rPr>
                <w:rFonts w:hint="eastAsia" w:eastAsiaTheme="minorEastAsia"/>
                <w:szCs w:val="21"/>
                <w:lang w:eastAsia="zh-CN"/>
              </w:rPr>
            </w:pPr>
            <w:r>
              <w:rPr>
                <w:rFonts w:hint="eastAsia"/>
                <w:szCs w:val="21"/>
                <w:lang w:val="en-US" w:eastAsia="zh-CN"/>
              </w:rPr>
              <w:t>2023</w:t>
            </w:r>
            <w:r>
              <w:rPr>
                <w:rFonts w:hint="eastAsia"/>
                <w:szCs w:val="21"/>
              </w:rPr>
              <w:t>年</w:t>
            </w:r>
            <w:r>
              <w:rPr>
                <w:rFonts w:hint="eastAsia"/>
                <w:szCs w:val="21"/>
                <w:lang w:val="en-US" w:eastAsia="zh-CN"/>
              </w:rPr>
              <w:t>11</w:t>
            </w:r>
            <w:r>
              <w:rPr>
                <w:rFonts w:hint="eastAsia"/>
                <w:szCs w:val="21"/>
              </w:rPr>
              <w:t xml:space="preserve"> 月—</w:t>
            </w:r>
            <w:r>
              <w:rPr>
                <w:rFonts w:hint="eastAsia"/>
                <w:szCs w:val="21"/>
                <w:lang w:val="en-US" w:eastAsia="zh-CN"/>
              </w:rPr>
              <w:t>至今</w:t>
            </w:r>
          </w:p>
        </w:tc>
        <w:tc>
          <w:tcPr>
            <w:tcW w:w="3265" w:type="dxa"/>
            <w:vAlign w:val="center"/>
          </w:tcPr>
          <w:p>
            <w:pPr>
              <w:jc w:val="center"/>
              <w:rPr>
                <w:rFonts w:hint="default"/>
                <w:szCs w:val="21"/>
                <w:lang w:val="en-US" w:eastAsia="zh-CN"/>
              </w:rPr>
            </w:pPr>
            <w:r>
              <w:rPr>
                <w:rFonts w:hint="eastAsia"/>
                <w:szCs w:val="21"/>
                <w:lang w:val="en-US" w:eastAsia="zh-CN"/>
              </w:rPr>
              <w:t>海南师范大学</w:t>
            </w:r>
          </w:p>
        </w:tc>
        <w:tc>
          <w:tcPr>
            <w:tcW w:w="2410" w:type="dxa"/>
            <w:vAlign w:val="center"/>
          </w:tcPr>
          <w:p>
            <w:pPr>
              <w:jc w:val="center"/>
              <w:rPr>
                <w:rFonts w:hint="default"/>
                <w:szCs w:val="21"/>
                <w:lang w:val="en-US" w:eastAsia="zh-CN"/>
              </w:rPr>
            </w:pPr>
            <w:r>
              <w:rPr>
                <w:rFonts w:hint="eastAsia"/>
                <w:szCs w:val="21"/>
                <w:lang w:val="en-US" w:eastAsia="zh-CN"/>
              </w:rPr>
              <w:t>物理教学</w:t>
            </w:r>
          </w:p>
        </w:tc>
        <w:tc>
          <w:tcPr>
            <w:tcW w:w="1701" w:type="dxa"/>
            <w:vAlign w:val="center"/>
          </w:tcPr>
          <w:p>
            <w:pPr>
              <w:jc w:val="center"/>
              <w:rPr>
                <w:rFonts w:hint="eastAsia"/>
                <w:szCs w:val="21"/>
                <w:lang w:val="en-US" w:eastAsia="zh-CN"/>
              </w:rPr>
            </w:pPr>
            <w:r>
              <w:rPr>
                <w:rFonts w:hint="eastAsia"/>
                <w:szCs w:val="21"/>
                <w:lang w:val="en-US" w:eastAsia="zh-CN"/>
              </w:rPr>
              <w:t>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pPr>
              <w:jc w:val="center"/>
              <w:rPr>
                <w:szCs w:val="21"/>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pPr>
              <w:jc w:val="center"/>
              <w:rPr>
                <w:sz w:val="18"/>
              </w:rPr>
            </w:pPr>
            <w:r>
              <w:rPr>
                <w:rFonts w:hint="eastAsia"/>
                <w:szCs w:val="21"/>
              </w:rPr>
              <w:t xml:space="preserve"> 年   月—   年   月</w:t>
            </w:r>
          </w:p>
        </w:tc>
        <w:tc>
          <w:tcPr>
            <w:tcW w:w="3265" w:type="dxa"/>
          </w:tcPr>
          <w:p>
            <w:pPr>
              <w:rPr>
                <w:sz w:val="18"/>
              </w:rPr>
            </w:pPr>
          </w:p>
        </w:tc>
        <w:tc>
          <w:tcPr>
            <w:tcW w:w="2410" w:type="dxa"/>
          </w:tcPr>
          <w:p>
            <w:pPr>
              <w:rPr>
                <w:sz w:val="18"/>
              </w:rPr>
            </w:pPr>
          </w:p>
        </w:tc>
        <w:tc>
          <w:tcPr>
            <w:tcW w:w="1701" w:type="dxa"/>
          </w:tcPr>
          <w:p>
            <w:pPr>
              <w:rPr>
                <w:sz w:val="18"/>
              </w:rPr>
            </w:pPr>
          </w:p>
        </w:tc>
      </w:tr>
    </w:tbl>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ind w:firstLine="420" w:firstLineChars="200"/>
              <w:jc w:val="left"/>
              <w:rPr>
                <w:rFonts w:hint="eastAsia" w:ascii="宋体" w:hAnsi="宋体" w:cs="Arial"/>
                <w:kern w:val="0"/>
                <w:szCs w:val="21"/>
              </w:rPr>
            </w:pPr>
            <w:r>
              <w:rPr>
                <w:rFonts w:hint="eastAsia" w:ascii="宋体" w:hAnsi="宋体" w:cs="Arial"/>
                <w:kern w:val="0"/>
                <w:szCs w:val="21"/>
                <w:lang w:val="en-US" w:eastAsia="zh-CN"/>
              </w:rPr>
              <w:t>杨伟业</w:t>
            </w:r>
            <w:r>
              <w:rPr>
                <w:rFonts w:hint="eastAsia" w:ascii="宋体" w:hAnsi="宋体" w:cs="Arial"/>
                <w:kern w:val="0"/>
                <w:szCs w:val="21"/>
              </w:rPr>
              <w:t>同志具有良好的道德素养和坚定的政治立场，</w:t>
            </w:r>
            <w:r>
              <w:rPr>
                <w:rFonts w:hint="eastAsia" w:ascii="宋体" w:hAnsi="宋体" w:cs="Arial"/>
                <w:kern w:val="0"/>
                <w:szCs w:val="21"/>
                <w:lang w:val="en-US" w:eastAsia="zh-CN"/>
              </w:rPr>
              <w:t>关心集体，注重个人品德的修养与提升</w:t>
            </w:r>
            <w:r>
              <w:rPr>
                <w:rFonts w:hint="eastAsia" w:ascii="宋体" w:hAnsi="宋体" w:cs="Arial"/>
                <w:kern w:val="0"/>
                <w:szCs w:val="21"/>
              </w:rPr>
              <w:t>，展现出高尚的道德情操。在师德师风方面，以身作则，严谨治学，</w:t>
            </w:r>
            <w:r>
              <w:rPr>
                <w:rFonts w:hint="eastAsia" w:ascii="宋体" w:hAnsi="宋体" w:cs="Arial"/>
                <w:kern w:val="0"/>
                <w:szCs w:val="21"/>
                <w:lang w:val="en-US" w:eastAsia="zh-CN"/>
              </w:rPr>
              <w:t>注重言传身教，</w:t>
            </w:r>
            <w:r>
              <w:rPr>
                <w:rFonts w:hint="eastAsia" w:ascii="宋体" w:hAnsi="宋体" w:cs="Arial"/>
                <w:kern w:val="0"/>
                <w:szCs w:val="21"/>
              </w:rPr>
              <w:t>关爱学生，尊重每一位学生的个性和发展，深受学生喜爱与尊敬，充分体现了教师的职业风范和崇高师德。</w:t>
            </w:r>
          </w:p>
          <w:p>
            <w:pPr>
              <w:widowControl/>
              <w:jc w:val="left"/>
              <w:rPr>
                <w:rFonts w:hint="eastAsia" w:ascii="宋体" w:hAnsi="宋体" w:cs="Arial"/>
                <w:kern w:val="0"/>
                <w:szCs w:val="21"/>
              </w:rPr>
            </w:pPr>
          </w:p>
          <w:p>
            <w:pPr>
              <w:widowControl/>
              <w:jc w:val="left"/>
              <w:rPr>
                <w:rFonts w:hint="eastAsia" w:ascii="宋体" w:hAnsi="宋体" w:cs="Arial"/>
                <w:kern w:val="0"/>
                <w:szCs w:val="21"/>
              </w:rPr>
            </w:pPr>
          </w:p>
          <w:p>
            <w:pPr>
              <w:widowControl/>
              <w:jc w:val="left"/>
              <w:rPr>
                <w:rFonts w:hint="eastAsia" w:ascii="宋体" w:hAnsi="宋体" w:cs="Arial"/>
                <w:kern w:val="0"/>
                <w:szCs w:val="21"/>
              </w:rPr>
            </w:pPr>
          </w:p>
          <w:p>
            <w:pPr>
              <w:widowControl/>
              <w:jc w:val="left"/>
              <w:rPr>
                <w:rFonts w:hint="eastAsia"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2017年合格，2018年优秀，2019年合格，2020年合格，2021年合格，2022年合格,2023年合格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eastAsia"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合格</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default" w:cs="Arial" w:asciiTheme="minorEastAsia" w:hAnsiTheme="minorEastAsia" w:eastAsiaTheme="minorEastAsia"/>
                <w:kern w:val="0"/>
                <w:szCs w:val="21"/>
                <w:lang w:val="en-US" w:eastAsia="zh-CN"/>
              </w:rPr>
            </w:pPr>
            <w:r>
              <w:rPr>
                <w:rFonts w:hint="eastAsia" w:cs="Arial" w:asciiTheme="minorEastAsia" w:hAnsiTheme="minorEastAsia"/>
                <w:kern w:val="0"/>
                <w:szCs w:val="21"/>
                <w:lang w:val="en-US" w:eastAsia="zh-CN"/>
              </w:rPr>
              <w:t>2019年上半年（2-6月）四川外国语大学参加</w:t>
            </w:r>
            <w:r>
              <w:rPr>
                <w:rFonts w:hint="eastAsia" w:ascii="宋体" w:hAnsi="宋体" w:cs="Arial"/>
                <w:kern w:val="0"/>
                <w:szCs w:val="21"/>
                <w:lang w:val="en-US" w:eastAsia="zh-CN"/>
              </w:rPr>
              <w:t>出国留学高级英语培训，2019年9月-2023年6月份，云南师范大学博士研究生学习</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hint="default" w:ascii="宋体" w:hAnsi="宋体" w:cs="Arial" w:eastAsiaTheme="minorEastAsia"/>
                <w:kern w:val="0"/>
                <w:szCs w:val="21"/>
                <w:lang w:val="en-US" w:eastAsia="zh-CN"/>
              </w:rPr>
            </w:pPr>
            <w:r>
              <w:rPr>
                <w:rFonts w:hint="eastAsia" w:ascii="宋体" w:hAnsi="宋体" w:cs="Arial"/>
                <w:kern w:val="0"/>
                <w:szCs w:val="21"/>
                <w:lang w:val="en-US" w:eastAsia="zh-CN"/>
              </w:rPr>
              <w:t>2017-2018年在遵义医科大学担任</w:t>
            </w:r>
            <w:r>
              <w:rPr>
                <w:rFonts w:hint="eastAsia" w:ascii="宋体" w:hAnsi="宋体"/>
                <w:color w:val="000000"/>
                <w:szCs w:val="21"/>
              </w:rPr>
              <w:t>2016级临床2班</w:t>
            </w:r>
            <w:r>
              <w:rPr>
                <w:rFonts w:hint="eastAsia" w:ascii="宋体" w:hAnsi="宋体" w:cs="Arial"/>
                <w:kern w:val="0"/>
                <w:szCs w:val="21"/>
                <w:lang w:val="en-US" w:eastAsia="zh-CN"/>
              </w:rPr>
              <w:t>班主任</w:t>
            </w:r>
          </w:p>
        </w:tc>
      </w:tr>
    </w:tbl>
    <w:p/>
    <w:tbl>
      <w:tblPr>
        <w:tblStyle w:val="5"/>
        <w:tblW w:w="9782" w:type="dxa"/>
        <w:tblInd w:w="108" w:type="dxa"/>
        <w:tblLayout w:type="fixed"/>
        <w:tblCellMar>
          <w:top w:w="0" w:type="dxa"/>
          <w:left w:w="108" w:type="dxa"/>
          <w:bottom w:w="0" w:type="dxa"/>
          <w:right w:w="108" w:type="dxa"/>
        </w:tblCellMar>
      </w:tblPr>
      <w:tblGrid>
        <w:gridCol w:w="1418"/>
        <w:gridCol w:w="142"/>
        <w:gridCol w:w="2835"/>
        <w:gridCol w:w="1559"/>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9"/>
            <w:tcBorders>
              <w:top w:val="single" w:color="auto" w:sz="4" w:space="0"/>
              <w:left w:val="single" w:color="auto" w:sz="4" w:space="0"/>
              <w:right w:val="single" w:color="auto" w:sz="4" w:space="0"/>
            </w:tcBorders>
            <w:vAlign w:val="center"/>
          </w:tcPr>
          <w:p>
            <w:pPr>
              <w:spacing w:line="300" w:lineRule="exact"/>
              <w:jc w:val="center"/>
              <w:rPr>
                <w:rFonts w:ascii="仿宋_GB2312" w:eastAsia="仿宋_GB2312"/>
                <w:b/>
                <w:szCs w:val="21"/>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gridSpan w:val="2"/>
            <w:tcBorders>
              <w:top w:val="single" w:color="auto" w:sz="4" w:space="0"/>
              <w:left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ascii="仿宋_GB2312" w:eastAsia="仿宋_GB2312"/>
                <w:szCs w:val="21"/>
              </w:rPr>
            </w:pPr>
            <w:r>
              <w:rPr>
                <w:rFonts w:hint="eastAsia" w:ascii="仿宋_GB2312" w:eastAsia="仿宋_GB2312"/>
                <w:szCs w:val="21"/>
              </w:rPr>
              <w:fldChar w:fldCharType="begin"/>
            </w:r>
            <w:r>
              <w:rPr>
                <w:rFonts w:hint="eastAsia" w:ascii="仿宋_GB2312" w:eastAsia="仿宋_GB2312"/>
                <w:szCs w:val="21"/>
              </w:rPr>
              <w:instrText xml:space="preserve"> = 1 \* GB3 </w:instrText>
            </w:r>
            <w:r>
              <w:rPr>
                <w:rFonts w:hint="eastAsia" w:ascii="仿宋_GB2312" w:eastAsia="仿宋_GB2312"/>
                <w:szCs w:val="21"/>
              </w:rPr>
              <w:fldChar w:fldCharType="separate"/>
            </w:r>
            <w:r>
              <w:rPr>
                <w:rFonts w:hint="eastAsia" w:ascii="仿宋_GB2312" w:eastAsia="仿宋_GB2312"/>
                <w:szCs w:val="21"/>
              </w:rPr>
              <w:t>①</w:t>
            </w:r>
            <w:r>
              <w:rPr>
                <w:rFonts w:hint="eastAsia" w:ascii="仿宋_GB2312" w:eastAsia="仿宋_GB2312"/>
                <w:szCs w:val="21"/>
              </w:rPr>
              <w:fldChar w:fldCharType="end"/>
            </w:r>
            <w:r>
              <w:rPr>
                <w:rFonts w:hint="eastAsia" w:ascii="仿宋_GB2312" w:eastAsia="仿宋_GB2312"/>
                <w:szCs w:val="21"/>
              </w:rPr>
              <w:t>任现职以来，承担课堂教学工作量共计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612</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306</w:t>
            </w:r>
            <w:r>
              <w:rPr>
                <w:rFonts w:hint="eastAsia" w:ascii="仿宋_GB2312" w:eastAsia="仿宋_GB2312"/>
                <w:szCs w:val="21"/>
                <w:u w:val="single"/>
              </w:rPr>
              <w:t xml:space="preserve">  </w:t>
            </w:r>
            <w:r>
              <w:rPr>
                <w:rFonts w:hint="eastAsia" w:ascii="仿宋_GB2312" w:eastAsia="仿宋_GB2312"/>
                <w:szCs w:val="21"/>
              </w:rPr>
              <w:t>学时，其中本科生课堂教学工作量共计</w:t>
            </w:r>
            <w:r>
              <w:rPr>
                <w:rFonts w:hint="eastAsia" w:ascii="仿宋_GB2312" w:eastAsia="仿宋_GB2312"/>
                <w:szCs w:val="21"/>
                <w:u w:val="single"/>
              </w:rPr>
              <w:t xml:space="preserve"> </w:t>
            </w:r>
            <w:r>
              <w:rPr>
                <w:rFonts w:hint="eastAsia" w:ascii="仿宋_GB2312" w:eastAsia="仿宋_GB2312"/>
                <w:szCs w:val="21"/>
                <w:u w:val="single"/>
                <w:lang w:val="en-US" w:eastAsia="zh-CN"/>
              </w:rPr>
              <w:t>612</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306</w:t>
            </w:r>
            <w:r>
              <w:rPr>
                <w:rFonts w:hint="eastAsia" w:ascii="仿宋_GB2312" w:eastAsia="仿宋_GB2312"/>
                <w:szCs w:val="21"/>
                <w:u w:val="single"/>
              </w:rPr>
              <w:t xml:space="preserve"> </w:t>
            </w:r>
            <w:r>
              <w:rPr>
                <w:rFonts w:hint="eastAsia" w:ascii="仿宋_GB2312" w:eastAsia="仿宋_GB2312"/>
                <w:szCs w:val="21"/>
              </w:rPr>
              <w:t>学时，其中实践类共计</w:t>
            </w:r>
            <w:r>
              <w:rPr>
                <w:rFonts w:hint="eastAsia" w:ascii="仿宋_GB2312" w:eastAsia="仿宋_GB2312"/>
                <w:szCs w:val="21"/>
                <w:u w:val="single"/>
              </w:rPr>
              <w:t xml:space="preserve"> </w:t>
            </w:r>
            <w:r>
              <w:rPr>
                <w:rFonts w:hint="eastAsia" w:ascii="仿宋_GB2312" w:eastAsia="仿宋_GB2312"/>
                <w:szCs w:val="21"/>
                <w:u w:val="single"/>
                <w:lang w:val="en-US" w:eastAsia="zh-CN"/>
              </w:rPr>
              <w:t>0</w:t>
            </w:r>
            <w:r>
              <w:rPr>
                <w:rFonts w:hint="eastAsia" w:ascii="仿宋_GB2312" w:eastAsia="仿宋_GB2312"/>
                <w:szCs w:val="21"/>
                <w:u w:val="single"/>
              </w:rPr>
              <w:t xml:space="preserve"> </w:t>
            </w:r>
            <w:r>
              <w:rPr>
                <w:rFonts w:hint="eastAsia" w:ascii="仿宋_GB2312" w:eastAsia="仿宋_GB2312"/>
                <w:szCs w:val="21"/>
              </w:rPr>
              <w:t>学时，年均</w:t>
            </w:r>
            <w:r>
              <w:rPr>
                <w:rFonts w:hint="eastAsia" w:ascii="仿宋_GB2312" w:eastAsia="仿宋_GB2312"/>
                <w:szCs w:val="21"/>
                <w:u w:val="single"/>
              </w:rPr>
              <w:t xml:space="preserve"> </w:t>
            </w:r>
            <w:r>
              <w:rPr>
                <w:rFonts w:hint="eastAsia" w:ascii="仿宋_GB2312" w:eastAsia="仿宋_GB2312"/>
                <w:szCs w:val="21"/>
                <w:u w:val="single"/>
                <w:lang w:val="en-US" w:eastAsia="zh-CN"/>
              </w:rPr>
              <w:t>0</w:t>
            </w:r>
            <w:r>
              <w:rPr>
                <w:rFonts w:hint="eastAsia" w:ascii="仿宋_GB2312" w:eastAsia="仿宋_GB2312"/>
                <w:szCs w:val="21"/>
                <w:u w:val="single"/>
              </w:rPr>
              <w:t xml:space="preserve"> </w:t>
            </w:r>
            <w:r>
              <w:rPr>
                <w:rFonts w:hint="eastAsia" w:ascii="仿宋_GB2312" w:eastAsia="仿宋_GB2312"/>
                <w:szCs w:val="21"/>
              </w:rPr>
              <w:t>学时。</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2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②</w:t>
            </w:r>
            <w:r>
              <w:rPr>
                <w:rFonts w:hint="eastAsia" w:ascii="仿宋_GB2312" w:hAnsi="宋体" w:eastAsia="仿宋_GB2312" w:cs="Arial"/>
                <w:kern w:val="0"/>
                <w:szCs w:val="21"/>
              </w:rPr>
              <w:fldChar w:fldCharType="end"/>
            </w:r>
            <w:r>
              <w:rPr>
                <w:rFonts w:hint="eastAsia" w:ascii="仿宋_GB2312" w:hAnsi="宋体" w:eastAsia="仿宋_GB2312" w:cs="Arial"/>
                <w:kern w:val="0"/>
                <w:szCs w:val="21"/>
              </w:rPr>
              <w:t>任现职以来教学评估达到“合格”以上占</w:t>
            </w:r>
            <w:r>
              <w:rPr>
                <w:rFonts w:hint="eastAsia" w:ascii="仿宋_GB2312" w:hAnsi="宋体" w:eastAsia="仿宋_GB2312" w:cs="Arial"/>
                <w:kern w:val="0"/>
                <w:szCs w:val="21"/>
                <w:u w:val="single"/>
              </w:rPr>
              <w:t xml:space="preserve"> </w:t>
            </w:r>
            <w:r>
              <w:rPr>
                <w:rFonts w:hint="eastAsia" w:ascii="仿宋_GB2312" w:hAnsi="宋体" w:eastAsia="仿宋_GB2312" w:cs="Arial"/>
                <w:kern w:val="0"/>
                <w:szCs w:val="21"/>
                <w:u w:val="single"/>
                <w:lang w:val="en-US" w:eastAsia="zh-CN"/>
              </w:rPr>
              <w:t>100</w:t>
            </w:r>
            <w:r>
              <w:rPr>
                <w:rFonts w:hint="eastAsia" w:ascii="仿宋_GB2312" w:hAnsi="宋体" w:eastAsia="仿宋_GB2312" w:cs="Arial"/>
                <w:kern w:val="0"/>
                <w:szCs w:val="21"/>
                <w:u w:val="single"/>
              </w:rPr>
              <w:t xml:space="preserve"> % </w:t>
            </w:r>
            <w:r>
              <w:rPr>
                <w:rFonts w:hint="eastAsia" w:ascii="仿宋_GB2312" w:eastAsia="仿宋_GB2312"/>
                <w:szCs w:val="21"/>
              </w:rPr>
              <w:t>。</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3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③</w:t>
            </w:r>
            <w:r>
              <w:rPr>
                <w:rFonts w:hint="eastAsia" w:ascii="仿宋_GB2312" w:hAnsi="宋体" w:eastAsia="仿宋_GB2312" w:cs="Arial"/>
                <w:kern w:val="0"/>
                <w:szCs w:val="21"/>
              </w:rPr>
              <w:fldChar w:fldCharType="end"/>
            </w:r>
            <w:r>
              <w:rPr>
                <w:rFonts w:hint="eastAsia" w:ascii="仿宋_GB2312" w:eastAsia="仿宋_GB2312"/>
                <w:szCs w:val="21"/>
              </w:rPr>
              <w:t>本次晋升专业技术资格的课程评估成绩为</w:t>
            </w:r>
            <w:r>
              <w:rPr>
                <w:rFonts w:hint="eastAsia" w:ascii="仿宋_GB2312" w:eastAsia="仿宋_GB2312"/>
                <w:szCs w:val="21"/>
                <w:u w:val="single"/>
              </w:rPr>
              <w:t xml:space="preserve"> </w:t>
            </w:r>
            <w:r>
              <w:rPr>
                <w:rFonts w:hint="eastAsia" w:ascii="仿宋_GB2312" w:eastAsia="仿宋_GB2312"/>
                <w:szCs w:val="21"/>
                <w:u w:val="single"/>
                <w:lang w:val="en-US" w:eastAsia="zh-CN"/>
              </w:rPr>
              <w:t>良好</w:t>
            </w:r>
            <w:r>
              <w:rPr>
                <w:rFonts w:hint="eastAsia" w:ascii="仿宋_GB2312" w:eastAsia="仿宋_GB2312"/>
                <w:szCs w:val="21"/>
                <w:u w:val="single"/>
              </w:rPr>
              <w:t xml:space="preserve"> </w:t>
            </w:r>
            <w:r>
              <w:rPr>
                <w:rFonts w:hint="eastAsia" w:ascii="仿宋_GB2312" w:eastAsia="仿宋_GB2312"/>
                <w:szCs w:val="21"/>
              </w:rPr>
              <w:t>等级。</w:t>
            </w:r>
          </w:p>
          <w:p>
            <w:pPr>
              <w:spacing w:line="300" w:lineRule="exact"/>
              <w:jc w:val="left"/>
              <w:rPr>
                <w:rFonts w:ascii="仿宋_GB2312" w:hAnsi="宋体" w:eastAsia="仿宋_GB2312" w:cs="Arial"/>
                <w:kern w:val="0"/>
                <w:szCs w:val="21"/>
              </w:rPr>
            </w:pPr>
            <w:r>
              <w:rPr>
                <w:rFonts w:hint="eastAsia" w:ascii="仿宋_GB2312" w:hAnsi="宋体" w:eastAsia="仿宋_GB2312" w:cs="Arial"/>
                <w:kern w:val="0"/>
                <w:szCs w:val="21"/>
              </w:rPr>
              <w:fldChar w:fldCharType="begin"/>
            </w:r>
            <w:r>
              <w:rPr>
                <w:rFonts w:hint="eastAsia" w:ascii="仿宋_GB2312" w:hAnsi="宋体" w:eastAsia="仿宋_GB2312" w:cs="Arial"/>
                <w:kern w:val="0"/>
                <w:szCs w:val="21"/>
              </w:rPr>
              <w:instrText xml:space="preserve"> = 4 \* GB3 </w:instrText>
            </w:r>
            <w:r>
              <w:rPr>
                <w:rFonts w:hint="eastAsia" w:ascii="仿宋_GB2312" w:hAnsi="宋体" w:eastAsia="仿宋_GB2312" w:cs="Arial"/>
                <w:kern w:val="0"/>
                <w:szCs w:val="21"/>
              </w:rPr>
              <w:fldChar w:fldCharType="separate"/>
            </w:r>
            <w:r>
              <w:rPr>
                <w:rFonts w:hint="eastAsia" w:ascii="仿宋_GB2312" w:hAnsi="宋体" w:eastAsia="仿宋_GB2312" w:cs="Arial"/>
                <w:kern w:val="0"/>
                <w:szCs w:val="21"/>
              </w:rPr>
              <w:t>④</w:t>
            </w:r>
            <w:r>
              <w:rPr>
                <w:rFonts w:hint="eastAsia" w:ascii="仿宋_GB2312" w:hAnsi="宋体" w:eastAsia="仿宋_GB2312" w:cs="Arial"/>
                <w:kern w:val="0"/>
                <w:szCs w:val="21"/>
              </w:rPr>
              <w:fldChar w:fldCharType="end"/>
            </w:r>
            <w:r>
              <w:rPr>
                <w:rFonts w:hint="eastAsia" w:ascii="仿宋_GB2312" w:hAnsi="宋体" w:eastAsia="仿宋_GB2312" w:cs="宋体"/>
                <w:kern w:val="0"/>
                <w:szCs w:val="21"/>
              </w:rPr>
              <w:t>担任毕业实习和论文指导工作（</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 xml:space="preserve">）届；或担任本科生创新创业活动（ </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 xml:space="preserve"> ）项；或担任本科生专业竞赛指导（ </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 xml:space="preserve"> ）项；或担任本科生开展寒暑假社会实践（ </w:t>
            </w:r>
            <w:r>
              <w:rPr>
                <w:rFonts w:hint="eastAsia" w:ascii="仿宋_GB2312" w:hAnsi="宋体" w:eastAsia="仿宋_GB2312" w:cs="宋体"/>
                <w:kern w:val="0"/>
                <w:szCs w:val="21"/>
                <w:lang w:val="en-US" w:eastAsia="zh-CN"/>
              </w:rPr>
              <w:t>0</w:t>
            </w:r>
            <w:r>
              <w:rPr>
                <w:rFonts w:hint="eastAsia" w:ascii="仿宋_GB2312" w:hAnsi="宋体" w:eastAsia="仿宋_GB2312" w:cs="宋体"/>
                <w:kern w:val="0"/>
                <w:szCs w:val="21"/>
              </w:rPr>
              <w:t xml:space="preserve">  ）项。</w:t>
            </w:r>
          </w:p>
        </w:tc>
      </w:tr>
      <w:tr>
        <w:tblPrEx>
          <w:tblCellMar>
            <w:top w:w="0" w:type="dxa"/>
            <w:left w:w="108" w:type="dxa"/>
            <w:bottom w:w="0" w:type="dxa"/>
            <w:right w:w="108" w:type="dxa"/>
          </w:tblCellMar>
        </w:tblPrEx>
        <w:trPr>
          <w:trHeight w:val="34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任现职以来课程教学工作量业绩表（本科生）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eastAsia="仿宋_GB2312"/>
                <w:szCs w:val="21"/>
                <w:lang w:val="en-US" w:eastAsia="zh-CN"/>
              </w:rPr>
            </w:pPr>
            <w:r>
              <w:rPr>
                <w:rFonts w:hint="eastAsia" w:ascii="仿宋_GB2312" w:eastAsia="仿宋_GB2312"/>
                <w:szCs w:val="21"/>
                <w:lang w:val="en-US" w:eastAsia="zh-CN"/>
              </w:rPr>
              <w:t>2016-2017（二）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《医学电子学》理论课38学时，实验课16学时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2015级信息技术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《医用物理学》理论课20学时，实验课136学时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2017级临床医学等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156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2017-2018（一）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《计算机基础》课程96学时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r>
              <w:rPr>
                <w:rFonts w:hint="eastAsia" w:ascii="仿宋_GB2312" w:eastAsia="仿宋_GB2312"/>
                <w:szCs w:val="21"/>
                <w:lang w:val="en-US" w:eastAsia="zh-CN"/>
              </w:rPr>
              <w:t>2017级信息技术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96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2017-2018（二）</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《医学电子学》理论课38学时，实验课</w:t>
            </w:r>
            <w:r>
              <w:rPr>
                <w:rFonts w:hint="eastAsia" w:ascii="宋体" w:hAnsi="宋体"/>
                <w:szCs w:val="21"/>
                <w:lang w:val="en-US" w:eastAsia="zh-CN"/>
              </w:rPr>
              <w:t>32</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2016级信息技术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70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r>
              <w:rPr>
                <w:rFonts w:hint="eastAsia" w:ascii="宋体" w:hAnsi="宋体"/>
                <w:szCs w:val="21"/>
              </w:rPr>
              <w:t>《医用物理学》实验课</w:t>
            </w:r>
            <w:r>
              <w:rPr>
                <w:rFonts w:hint="eastAsia" w:ascii="宋体" w:hAnsi="宋体"/>
                <w:szCs w:val="21"/>
                <w:lang w:val="en-US" w:eastAsia="zh-CN"/>
              </w:rPr>
              <w:t>124</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2018级临床医学等</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124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szCs w:val="21"/>
              </w:rPr>
            </w:pPr>
            <w:r>
              <w:rPr>
                <w:rFonts w:hint="eastAsia" w:ascii="宋体" w:hAnsi="宋体"/>
                <w:szCs w:val="21"/>
                <w:lang w:eastAsia="zh-CN"/>
              </w:rPr>
              <w:t>《大学物理</w:t>
            </w:r>
            <w:r>
              <w:rPr>
                <w:rFonts w:hint="eastAsia" w:ascii="宋体" w:hAnsi="宋体"/>
                <w:szCs w:val="21"/>
                <w:lang w:val="en-US" w:eastAsia="zh-CN"/>
              </w:rPr>
              <w:t>1</w:t>
            </w:r>
            <w:r>
              <w:rPr>
                <w:rFonts w:hint="eastAsia" w:ascii="宋体" w:hAnsi="宋体"/>
                <w:szCs w:val="21"/>
                <w:lang w:eastAsia="zh-CN"/>
              </w:rPr>
              <w:t>》理论课</w:t>
            </w:r>
            <w:r>
              <w:rPr>
                <w:rFonts w:hint="eastAsia" w:ascii="宋体" w:hAnsi="宋体"/>
                <w:szCs w:val="21"/>
                <w:lang w:val="en-US" w:eastAsia="zh-CN"/>
              </w:rPr>
              <w:t>60学时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2018级信息技术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eastAsia="仿宋_GB2312"/>
                <w:szCs w:val="21"/>
                <w:lang w:val="en-US" w:eastAsia="zh-CN"/>
              </w:rPr>
            </w:pPr>
            <w:r>
              <w:rPr>
                <w:rFonts w:hint="eastAsia" w:ascii="仿宋_GB2312" w:eastAsia="仿宋_GB2312"/>
                <w:szCs w:val="21"/>
                <w:lang w:val="en-US" w:eastAsia="zh-CN"/>
              </w:rPr>
              <w:t>2018-2019（一）</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hint="eastAsia" w:ascii="宋体" w:hAnsi="宋体"/>
                <w:szCs w:val="21"/>
              </w:rPr>
            </w:pPr>
            <w:r>
              <w:rPr>
                <w:rFonts w:hint="eastAsia" w:ascii="宋体" w:hAnsi="宋体"/>
                <w:szCs w:val="21"/>
                <w:lang w:eastAsia="zh-CN"/>
              </w:rPr>
              <w:t>《</w:t>
            </w:r>
            <w:r>
              <w:rPr>
                <w:rFonts w:hint="eastAsia" w:ascii="宋体" w:hAnsi="宋体"/>
                <w:szCs w:val="21"/>
              </w:rPr>
              <w:t>计算机基础》课程</w:t>
            </w:r>
            <w:r>
              <w:rPr>
                <w:rFonts w:hint="eastAsia" w:ascii="宋体" w:hAnsi="宋体"/>
                <w:szCs w:val="21"/>
                <w:lang w:val="en-US" w:eastAsia="zh-CN"/>
              </w:rPr>
              <w:t>52</w:t>
            </w:r>
            <w:r>
              <w:rPr>
                <w:rFonts w:hint="eastAsia" w:ascii="宋体" w:hAnsi="宋体"/>
                <w:szCs w:val="21"/>
              </w:rPr>
              <w:t>学时</w:t>
            </w: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r>
              <w:rPr>
                <w:rFonts w:hint="eastAsia" w:ascii="仿宋_GB2312" w:eastAsia="仿宋_GB2312"/>
                <w:szCs w:val="21"/>
                <w:lang w:val="en-US" w:eastAsia="zh-CN"/>
              </w:rPr>
              <w:t>2018级信息技术</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52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良好</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hint="default" w:ascii="仿宋_GB2312" w:eastAsia="仿宋_GB2312"/>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hAnsiTheme="minorHAnsi" w:cstheme="minorBidi"/>
                <w:kern w:val="2"/>
                <w:sz w:val="21"/>
                <w:szCs w:val="21"/>
                <w:lang w:val="en-US" w:eastAsia="zh-CN" w:bidi="ar-SA"/>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default" w:ascii="仿宋_GB2312" w:eastAsia="仿宋_GB2312"/>
                <w:szCs w:val="21"/>
                <w:lang w:val="en-US" w:eastAsia="zh-CN"/>
              </w:rPr>
            </w:pPr>
            <w:r>
              <w:rPr>
                <w:rFonts w:hint="eastAsia" w:ascii="仿宋_GB2312" w:eastAsia="仿宋_GB2312"/>
                <w:szCs w:val="21"/>
                <w:lang w:val="en-US" w:eastAsia="zh-CN"/>
              </w:rPr>
              <w:t>612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418"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977" w:type="dxa"/>
            <w:gridSpan w:val="2"/>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977"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任现职以来实践类教学工作量业绩表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学年、学期</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eastAsia="仿宋_GB2312"/>
                <w:szCs w:val="21"/>
              </w:rPr>
              <w:t>课程名称</w:t>
            </w:r>
          </w:p>
        </w:tc>
        <w:tc>
          <w:tcPr>
            <w:tcW w:w="1559"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kern w:val="0"/>
                <w:szCs w:val="21"/>
              </w:rPr>
            </w:pPr>
            <w:r>
              <w:rPr>
                <w:rFonts w:hint="eastAsia" w:ascii="仿宋_GB2312" w:hAnsi="宋体" w:eastAsia="仿宋_GB2312" w:cs="Arial"/>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835"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559"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9"/>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指导学生实习、论文、实践情况</w:t>
            </w:r>
          </w:p>
        </w:tc>
      </w:tr>
      <w:tr>
        <w:tblPrEx>
          <w:tblCellMar>
            <w:top w:w="0" w:type="dxa"/>
            <w:left w:w="108" w:type="dxa"/>
            <w:bottom w:w="0" w:type="dxa"/>
            <w:right w:w="108" w:type="dxa"/>
          </w:tblCellMar>
        </w:tblPrEx>
        <w:trPr>
          <w:trHeight w:val="1474" w:hRule="atLeast"/>
        </w:trPr>
        <w:tc>
          <w:tcPr>
            <w:tcW w:w="9782" w:type="dxa"/>
            <w:gridSpan w:val="9"/>
            <w:tcBorders>
              <w:top w:val="single" w:color="auto" w:sz="4" w:space="0"/>
              <w:left w:val="single" w:color="auto" w:sz="4" w:space="0"/>
              <w:bottom w:val="single" w:color="000000" w:sz="4" w:space="0"/>
              <w:right w:val="single" w:color="000000" w:sz="4" w:space="0"/>
            </w:tcBorders>
            <w:vAlign w:val="center"/>
          </w:tcPr>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2017年遵义医学院大学生创新创业计划《3d打印人体骨骼》</w:t>
            </w:r>
          </w:p>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2017年全国大学生电子设计竞赛贵州赛区成功参赛奖</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2018年贵州省大学生创新创业计划《3d打印手术规划模型》</w:t>
            </w:r>
          </w:p>
          <w:p>
            <w:pPr>
              <w:spacing w:line="240" w:lineRule="exact"/>
              <w:rPr>
                <w:rFonts w:ascii="仿宋_GB2312" w:eastAsia="仿宋_GB2312"/>
                <w:szCs w:val="21"/>
              </w:rPr>
            </w:pPr>
            <w:r>
              <w:rPr>
                <w:rFonts w:hint="eastAsia" w:ascii="仿宋_GB2312" w:eastAsia="仿宋_GB2312"/>
                <w:szCs w:val="21"/>
                <w:lang w:val="en-US" w:eastAsia="zh-CN"/>
              </w:rPr>
              <w:t>2018年全国大学生电子设计竞赛贵州赛区三等奖</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2018年贵州省第三届“贵安杯”青少年3D打印创意设计大赛（大学组）一等奖</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2018年贵州省第三届“贵安杯”青少年3D打印创意设计大赛（大学组）优秀指导老师</w:t>
            </w:r>
          </w:p>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2017年《医学物理实验教学改革探究》教改论文，医学人文研究</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2018年5月《微信平台云板书在医学电子学教学中的应用》 教改论文，新教育时代</w:t>
            </w:r>
          </w:p>
          <w:p>
            <w:pPr>
              <w:spacing w:line="240" w:lineRule="exact"/>
              <w:rPr>
                <w:rFonts w:hint="eastAsia" w:ascii="仿宋_GB2312" w:eastAsia="仿宋_GB2312"/>
                <w:szCs w:val="21"/>
                <w:lang w:val="en-US" w:eastAsia="zh-CN"/>
              </w:rPr>
            </w:pPr>
            <w:r>
              <w:rPr>
                <w:rFonts w:hint="eastAsia" w:ascii="仿宋_GB2312" w:eastAsia="仿宋_GB2312"/>
                <w:szCs w:val="21"/>
                <w:lang w:val="en-US" w:eastAsia="zh-CN"/>
              </w:rPr>
              <w:t>2018-2020 遵义医学院教改项目《Multsim在《医学电子学》教学中的全面应用》</w:t>
            </w:r>
          </w:p>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2022年2月 3D 打印技术在临床医学中的应用（通讯作者），中国药学药品知识仓库</w:t>
            </w:r>
          </w:p>
          <w:p>
            <w:pPr>
              <w:spacing w:line="240" w:lineRule="exact"/>
              <w:rPr>
                <w:rFonts w:hint="eastAsia" w:ascii="仿宋_GB2312" w:eastAsia="仿宋_GB2312"/>
                <w:szCs w:val="21"/>
                <w:lang w:val="en-US" w:eastAsia="zh-CN"/>
              </w:rPr>
            </w:pPr>
          </w:p>
          <w:p>
            <w:pPr>
              <w:spacing w:line="240" w:lineRule="exact"/>
              <w:rPr>
                <w:rFonts w:hint="default" w:ascii="仿宋_GB2312" w:eastAsia="仿宋_GB2312"/>
                <w:szCs w:val="21"/>
                <w:lang w:val="en-US" w:eastAsia="zh-CN"/>
              </w:rPr>
            </w:pPr>
          </w:p>
        </w:tc>
      </w:tr>
    </w:tbl>
    <w:p>
      <w:r>
        <w:br w:type="page"/>
      </w:r>
    </w:p>
    <w:p>
      <w:pPr>
        <w:rPr>
          <w:rFonts w:ascii="宋体" w:hAnsi="宋体" w:eastAsia="宋体" w:cs="宋体"/>
          <w:kern w:val="0"/>
          <w:sz w:val="24"/>
          <w:szCs w:val="24"/>
        </w:rPr>
      </w:pPr>
    </w:p>
    <w:p>
      <w:pPr>
        <w:rPr>
          <w:rFonts w:ascii="宋体" w:hAnsi="宋体" w:eastAsia="宋体" w:cs="宋体"/>
          <w:kern w:val="0"/>
          <w:sz w:val="24"/>
          <w:szCs w:val="24"/>
        </w:rPr>
      </w:pPr>
    </w:p>
    <w:tbl>
      <w:tblPr>
        <w:tblStyle w:val="5"/>
        <w:tblW w:w="9797" w:type="dxa"/>
        <w:tblInd w:w="93" w:type="dxa"/>
        <w:tblLayout w:type="fixed"/>
        <w:tblCellMar>
          <w:top w:w="0" w:type="dxa"/>
          <w:left w:w="108" w:type="dxa"/>
          <w:bottom w:w="0" w:type="dxa"/>
          <w:right w:w="108" w:type="dxa"/>
        </w:tblCellMar>
      </w:tblPr>
      <w:tblGrid>
        <w:gridCol w:w="582"/>
        <w:gridCol w:w="896"/>
        <w:gridCol w:w="1382"/>
        <w:gridCol w:w="675"/>
        <w:gridCol w:w="758"/>
        <w:gridCol w:w="758"/>
        <w:gridCol w:w="67"/>
        <w:gridCol w:w="608"/>
        <w:gridCol w:w="675"/>
        <w:gridCol w:w="437"/>
        <w:gridCol w:w="715"/>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ascii="黑体" w:hAnsi="黑体" w:eastAsia="黑体" w:cs="宋体"/>
                <w:bCs/>
                <w:kern w:val="0"/>
                <w:sz w:val="32"/>
                <w:szCs w:val="32"/>
              </w:rPr>
            </w:pPr>
            <w:r>
              <w:rPr>
                <w:rFonts w:hint="eastAsia" w:ascii="黑体" w:hAnsi="黑体" w:eastAsia="黑体" w:cs="宋体"/>
                <w:bCs/>
                <w:kern w:val="0"/>
                <w:sz w:val="32"/>
                <w:szCs w:val="32"/>
              </w:rPr>
              <w:t>高校教师职务任职资格评审教育教学能力评价计分汇总表2-2</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指标级别</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437"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奖项获得数量</w:t>
            </w:r>
          </w:p>
        </w:tc>
        <w:tc>
          <w:tcPr>
            <w:tcW w:w="71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eastAsia" w:ascii="仿宋_GB2312" w:hAnsi="宋体" w:eastAsia="仿宋_GB2312" w:cs="宋体"/>
                <w:b/>
                <w:bCs/>
                <w:kern w:val="0"/>
                <w:szCs w:val="21"/>
                <w:lang w:eastAsia="zh-CN"/>
              </w:rPr>
            </w:pPr>
            <w:r>
              <w:rPr>
                <w:rFonts w:hint="eastAsia" w:ascii="仿宋_GB2312" w:hAnsi="宋体" w:eastAsia="仿宋_GB2312" w:cs="宋体"/>
                <w:b/>
                <w:bCs/>
                <w:kern w:val="0"/>
                <w:szCs w:val="21"/>
              </w:rPr>
              <w:t>不分等级</w:t>
            </w:r>
          </w:p>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指标分值</w:t>
            </w:r>
          </w:p>
        </w:tc>
        <w:tc>
          <w:tcPr>
            <w:tcW w:w="2866"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分等级指标分值（单位：分）</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特等奖</w:t>
            </w:r>
          </w:p>
        </w:tc>
        <w:tc>
          <w:tcPr>
            <w:tcW w:w="75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一等奖</w:t>
            </w:r>
          </w:p>
        </w:tc>
        <w:tc>
          <w:tcPr>
            <w:tcW w:w="675"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二等奖</w:t>
            </w:r>
          </w:p>
        </w:tc>
        <w:tc>
          <w:tcPr>
            <w:tcW w:w="675"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ascii="仿宋_GB2312" w:hAnsi="宋体" w:eastAsia="仿宋_GB2312" w:cs="宋体"/>
                <w:b/>
                <w:bCs/>
                <w:kern w:val="0"/>
                <w:szCs w:val="21"/>
              </w:rPr>
            </w:pPr>
            <w:r>
              <w:rPr>
                <w:rFonts w:hint="eastAsia" w:ascii="仿宋_GB2312" w:hAnsi="宋体" w:eastAsia="仿宋_GB2312" w:cs="宋体"/>
                <w:b/>
                <w:bCs/>
                <w:kern w:val="0"/>
                <w:szCs w:val="21"/>
              </w:rPr>
              <w:t>三等奖</w:t>
            </w:r>
          </w:p>
        </w:tc>
        <w:tc>
          <w:tcPr>
            <w:tcW w:w="43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1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ascii="仿宋_GB2312" w:hAnsi="宋体" w:eastAsia="仿宋_GB2312" w:cs="宋体"/>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全国A类指导奖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b/>
                <w:bCs/>
                <w:kern w:val="0"/>
                <w:sz w:val="24"/>
                <w:szCs w:val="24"/>
              </w:rPr>
            </w:pPr>
            <w:r>
              <w:rPr>
                <w:rFonts w:hint="eastAsia" w:ascii="仿宋_GB2312" w:hAnsi="宋体" w:eastAsia="仿宋_GB2312" w:cs="宋体"/>
                <w:b/>
                <w:bCs/>
                <w:kern w:val="0"/>
                <w:sz w:val="24"/>
                <w:szCs w:val="24"/>
                <w:lang w:val="en-US" w:eastAsia="zh-CN"/>
              </w:rPr>
              <w:t>40</w:t>
            </w:r>
            <w:r>
              <w:rPr>
                <w:rFonts w:hint="eastAsia" w:ascii="仿宋_GB2312" w:hAnsi="宋体" w:eastAsia="仿宋_GB2312" w:cs="宋体"/>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全国B类指导奖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60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全国C类指导奖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省级指导奖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75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40</w:t>
            </w:r>
          </w:p>
        </w:tc>
        <w:tc>
          <w:tcPr>
            <w:tcW w:w="675"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b/>
                <w:bCs/>
                <w:kern w:val="0"/>
                <w:sz w:val="24"/>
                <w:szCs w:val="24"/>
              </w:rPr>
            </w:pPr>
            <w:r>
              <w:rPr>
                <w:rFonts w:hint="eastAsia" w:ascii="仿宋_GB2312" w:hAnsi="宋体" w:eastAsia="仿宋_GB2312" w:cs="宋体"/>
                <w:b/>
                <w:bCs/>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b/>
                <w:bCs/>
                <w:kern w:val="0"/>
                <w:sz w:val="24"/>
                <w:szCs w:val="24"/>
                <w:lang w:val="en-US" w:eastAsia="zh-CN"/>
              </w:rPr>
            </w:pPr>
            <w:r>
              <w:rPr>
                <w:rFonts w:hint="eastAsia" w:ascii="仿宋_GB2312" w:hAnsi="宋体" w:eastAsia="仿宋_GB2312" w:cs="宋体"/>
                <w:b/>
                <w:bCs/>
                <w:kern w:val="0"/>
                <w:sz w:val="24"/>
                <w:szCs w:val="24"/>
              </w:rPr>
              <w:t>　</w:t>
            </w:r>
            <w:r>
              <w:rPr>
                <w:rFonts w:hint="eastAsia" w:ascii="仿宋_GB2312" w:hAnsi="宋体" w:eastAsia="仿宋_GB2312" w:cs="宋体"/>
                <w:b/>
                <w:bCs/>
                <w:kern w:val="0"/>
                <w:sz w:val="24"/>
                <w:szCs w:val="24"/>
                <w:lang w:val="en-US" w:eastAsia="zh-CN"/>
              </w:rPr>
              <w:t>40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160分/个</w:t>
            </w:r>
          </w:p>
        </w:tc>
        <w:tc>
          <w:tcPr>
            <w:tcW w:w="437"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硕士国家级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500分/篇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博士省级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200分/篇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硕士省级</w:t>
            </w:r>
          </w:p>
        </w:tc>
        <w:tc>
          <w:tcPr>
            <w:tcW w:w="3541"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100分/篇</w:t>
            </w:r>
          </w:p>
        </w:tc>
        <w:tc>
          <w:tcPr>
            <w:tcW w:w="437"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1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100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w:t>
            </w:r>
          </w:p>
        </w:tc>
      </w:tr>
    </w:tbl>
    <w:p>
      <w:pPr>
        <w:spacing w:line="36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spacing w:line="360" w:lineRule="exact"/>
        <w:ind w:firstLine="840" w:firstLineChars="350"/>
        <w:rPr>
          <w:rFonts w:ascii="宋体" w:hAnsi="宋体" w:eastAsia="宋体" w:cs="宋体"/>
          <w:kern w:val="0"/>
          <w:sz w:val="24"/>
          <w:szCs w:val="24"/>
        </w:rPr>
      </w:pPr>
      <w:r>
        <w:rPr>
          <w:rFonts w:hint="eastAsia" w:ascii="宋体" w:hAnsi="宋体" w:eastAsia="宋体" w:cs="宋体"/>
          <w:kern w:val="0"/>
          <w:sz w:val="24"/>
          <w:szCs w:val="24"/>
        </w:rPr>
        <w:t>2.当【课堂教学+教学研究+教学成果三项分值】超过【初始教学总分】的50%时，需将此三项的小计分值按【初始教学总分】的50%计入个人【最后教学总分】（只折算一次）。</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jc w:val="center"/>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p>
      <w:pPr>
        <w:rPr>
          <w:rFonts w:cs="宋体" w:asciiTheme="minorEastAsia" w:hAnsiTheme="minorEastAsia"/>
          <w:kern w:val="0"/>
          <w:szCs w:val="21"/>
        </w:rPr>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796"/>
        <w:gridCol w:w="2986"/>
        <w:gridCol w:w="694"/>
        <w:gridCol w:w="829"/>
        <w:gridCol w:w="1717"/>
        <w:gridCol w:w="1248"/>
        <w:gridCol w:w="1056"/>
        <w:gridCol w:w="52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pPr>
              <w:jc w:val="center"/>
              <w:rPr>
                <w:rFonts w:cs="宋体" w:asciiTheme="minorEastAsia" w:hAnsiTheme="minorEastAsia"/>
                <w:kern w:val="0"/>
                <w:szCs w:val="21"/>
              </w:rPr>
            </w:pPr>
          </w:p>
        </w:tc>
        <w:tc>
          <w:tcPr>
            <w:tcW w:w="3078"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贵州省第三届“贵安杯”青少年3D打印创意设计大赛（大学组）</w:t>
            </w:r>
          </w:p>
        </w:tc>
        <w:tc>
          <w:tcPr>
            <w:tcW w:w="704" w:type="dxa"/>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一等奖</w:t>
            </w:r>
          </w:p>
        </w:tc>
        <w:tc>
          <w:tcPr>
            <w:tcW w:w="1759"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贵州省教育厅等</w:t>
            </w:r>
          </w:p>
        </w:tc>
        <w:tc>
          <w:tcPr>
            <w:tcW w:w="850"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2018.10</w:t>
            </w:r>
          </w:p>
        </w:tc>
        <w:tc>
          <w:tcPr>
            <w:tcW w:w="532" w:type="dxa"/>
            <w:tcBorders>
              <w:lef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40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w:t>
            </w:r>
          </w:p>
        </w:tc>
        <w:tc>
          <w:tcPr>
            <w:tcW w:w="3078"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贵州省大学生电子设计竞赛（本科组）</w:t>
            </w:r>
          </w:p>
        </w:tc>
        <w:tc>
          <w:tcPr>
            <w:tcW w:w="704"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省级</w:t>
            </w:r>
          </w:p>
        </w:tc>
        <w:tc>
          <w:tcPr>
            <w:tcW w:w="845"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三等奖</w:t>
            </w:r>
          </w:p>
        </w:tc>
        <w:tc>
          <w:tcPr>
            <w:tcW w:w="1759" w:type="dxa"/>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第一</w:t>
            </w:r>
          </w:p>
        </w:tc>
        <w:tc>
          <w:tcPr>
            <w:tcW w:w="1276"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全国大学生电子设计竞赛贵州赛区组织委员会</w:t>
            </w:r>
          </w:p>
        </w:tc>
        <w:tc>
          <w:tcPr>
            <w:tcW w:w="850" w:type="dxa"/>
            <w:tcBorders>
              <w:right w:val="single" w:color="auto" w:sz="4" w:space="0"/>
            </w:tcBorders>
            <w:vAlign w:val="center"/>
          </w:tcPr>
          <w:p>
            <w:pPr>
              <w:jc w:val="center"/>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2018.7.9</w:t>
            </w:r>
          </w:p>
        </w:tc>
        <w:tc>
          <w:tcPr>
            <w:tcW w:w="532" w:type="dxa"/>
            <w:tcBorders>
              <w:left w:val="single" w:color="auto" w:sz="4" w:space="0"/>
            </w:tcBorders>
            <w:vAlign w:val="center"/>
          </w:tcPr>
          <w:p>
            <w:pPr>
              <w:jc w:val="center"/>
              <w:rPr>
                <w:rFonts w:hint="default" w:cs="宋体" w:asciiTheme="minorEastAsia" w:hAnsiTheme="minorEastAsia"/>
                <w:kern w:val="0"/>
                <w:szCs w:val="21"/>
                <w:lang w:val="en-US" w:eastAsia="zh-CN"/>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p/>
    <w:tbl>
      <w:tblPr>
        <w:tblStyle w:val="5"/>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任现职以来科研创新能力评价计分汇总表2-1</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指标</w:t>
            </w:r>
          </w:p>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40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2项</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宋体" w:hAnsi="宋体" w:eastAsia="宋体" w:cs="宋体"/>
                <w:kern w:val="0"/>
                <w:sz w:val="24"/>
                <w:szCs w:val="24"/>
                <w:lang w:val="en-US" w:eastAsia="zh-CN"/>
              </w:rPr>
            </w:pPr>
            <w:r>
              <w:rPr>
                <w:rFonts w:hint="eastAsia" w:ascii="宋体" w:hAnsi="宋体" w:eastAsia="宋体" w:cs="宋体"/>
                <w:kern w:val="0"/>
                <w:sz w:val="24"/>
                <w:szCs w:val="24"/>
              </w:rPr>
              <w:t>　</w:t>
            </w:r>
            <w:r>
              <w:rPr>
                <w:rFonts w:hint="eastAsia" w:ascii="宋体" w:hAnsi="宋体" w:eastAsia="宋体" w:cs="宋体"/>
                <w:kern w:val="0"/>
                <w:sz w:val="24"/>
                <w:szCs w:val="24"/>
                <w:lang w:val="en-US" w:eastAsia="zh-CN"/>
              </w:rPr>
              <w:t>40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1080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2篇</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600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3篇</w:t>
            </w: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仿宋" w:hAnsi="仿宋" w:eastAsia="仿宋" w:cs="宋体"/>
                <w:kern w:val="0"/>
                <w:sz w:val="24"/>
                <w:szCs w:val="24"/>
                <w:lang w:val="en-US" w:eastAsia="zh-CN"/>
              </w:rPr>
            </w:pPr>
            <w:r>
              <w:rPr>
                <w:rFonts w:hint="eastAsia" w:ascii="仿宋" w:hAnsi="仿宋" w:eastAsia="仿宋" w:cs="宋体"/>
                <w:kern w:val="0"/>
                <w:sz w:val="24"/>
                <w:szCs w:val="24"/>
                <w:lang w:val="en-US" w:eastAsia="zh-CN"/>
              </w:rPr>
              <w:t>480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bl>
    <w:p/>
    <w:p>
      <w:pPr>
        <w:widowControl/>
        <w:jc w:val="left"/>
      </w:pPr>
      <w:r>
        <w:br w:type="page"/>
      </w:r>
    </w:p>
    <w:p/>
    <w:tbl>
      <w:tblPr>
        <w:tblStyle w:val="5"/>
        <w:tblW w:w="9654" w:type="dxa"/>
        <w:tblInd w:w="93" w:type="dxa"/>
        <w:tblLayout w:type="autofit"/>
        <w:tblCellMar>
          <w:top w:w="0" w:type="dxa"/>
          <w:left w:w="108" w:type="dxa"/>
          <w:bottom w:w="0" w:type="dxa"/>
          <w:right w:w="108" w:type="dxa"/>
        </w:tblCellMar>
      </w:tblPr>
      <w:tblGrid>
        <w:gridCol w:w="1059"/>
        <w:gridCol w:w="459"/>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1"/>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任现职以来科研创新能力评价计分汇总表2-2</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bCs/>
                <w:kern w:val="0"/>
                <w:sz w:val="24"/>
                <w:szCs w:val="24"/>
                <w:lang w:eastAsia="zh-CN"/>
              </w:rPr>
            </w:pPr>
            <w:r>
              <w:rPr>
                <w:rFonts w:hint="eastAsia" w:ascii="宋体" w:hAnsi="宋体" w:eastAsia="宋体" w:cs="宋体"/>
                <w:b/>
                <w:bCs/>
                <w:kern w:val="0"/>
                <w:sz w:val="24"/>
                <w:szCs w:val="24"/>
              </w:rPr>
              <w:t>指标</w:t>
            </w:r>
          </w:p>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b/>
                <w:bCs/>
                <w:kern w:val="0"/>
                <w:sz w:val="24"/>
                <w:szCs w:val="24"/>
              </w:rPr>
            </w:pPr>
            <w:r>
              <w:rPr>
                <w:rFonts w:hint="eastAsia" w:ascii="宋体" w:hAnsi="宋体" w:eastAsia="宋体" w:cs="宋体"/>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仿宋_GB2312" w:hAnsi="宋体" w:eastAsia="仿宋_GB2312" w:cs="宋体"/>
                <w:b/>
                <w:bCs/>
                <w:kern w:val="0"/>
                <w:szCs w:val="21"/>
              </w:rPr>
            </w:pPr>
            <w:r>
              <w:rPr>
                <w:rFonts w:hint="eastAsia" w:ascii="仿宋_GB2312" w:hAnsi="宋体" w:eastAsia="仿宋_GB2312" w:cs="宋体"/>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 w:val="24"/>
                <w:szCs w:val="24"/>
              </w:rPr>
            </w:pPr>
            <w:r>
              <w:rPr>
                <w:rFonts w:hint="eastAsia" w:ascii="仿宋" w:hAnsi="仿宋" w:eastAsia="仿宋"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70"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51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宋体"/>
                <w:kern w:val="0"/>
                <w:szCs w:val="21"/>
              </w:rPr>
            </w:pPr>
            <w:r>
              <w:rPr>
                <w:rFonts w:hint="eastAsia" w:ascii="仿宋" w:hAnsi="仿宋" w:eastAsia="仿宋" w:cs="宋体"/>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五、应用成果</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六、知识产权</w:t>
            </w: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60</w:t>
            </w:r>
            <w:r>
              <w:rPr>
                <w:rFonts w:hint="eastAsia" w:ascii="宋体" w:hAnsi="宋体" w:eastAsia="宋体" w:cs="宋体"/>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285" w:hRule="atLeast"/>
        </w:trPr>
        <w:tc>
          <w:tcPr>
            <w:tcW w:w="1059"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347" w:type="dxa"/>
            <w:gridSpan w:val="3"/>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1项</w:t>
            </w:r>
            <w:r>
              <w:rPr>
                <w:rFonts w:hint="eastAsia" w:ascii="宋体" w:hAnsi="宋体" w:eastAsia="宋体" w:cs="宋体"/>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60分</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5681"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7245"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ascii="仿宋_GB2312" w:hAnsi="宋体" w:eastAsia="仿宋_GB2312" w:cs="宋体"/>
                <w:kern w:val="0"/>
                <w:sz w:val="24"/>
                <w:szCs w:val="24"/>
              </w:rPr>
            </w:pPr>
            <w:r>
              <w:rPr>
                <w:rFonts w:hint="eastAsia" w:ascii="仿宋_GB2312" w:hAnsi="宋体" w:eastAsia="仿宋_GB2312" w:cs="宋体"/>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1180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r>
        <w:tblPrEx>
          <w:tblCellMar>
            <w:top w:w="0" w:type="dxa"/>
            <w:left w:w="108" w:type="dxa"/>
            <w:bottom w:w="0" w:type="dxa"/>
            <w:right w:w="108" w:type="dxa"/>
          </w:tblCellMar>
        </w:tblPrEx>
        <w:trPr>
          <w:trHeight w:val="553" w:hRule="atLeast"/>
        </w:trPr>
        <w:tc>
          <w:tcPr>
            <w:tcW w:w="455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ascii="仿宋_GB2312" w:hAnsi="宋体" w:eastAsia="仿宋_GB2312" w:cs="宋体"/>
                <w:kern w:val="0"/>
                <w:sz w:val="24"/>
                <w:szCs w:val="24"/>
              </w:rPr>
            </w:pPr>
            <w:r>
              <w:rPr>
                <w:rFonts w:hint="eastAsia" w:ascii="仿宋_GB2312" w:hAnsi="宋体" w:eastAsia="仿宋_GB2312" w:cs="宋体"/>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ascii="仿宋_GB2312" w:hAnsi="宋体" w:eastAsia="仿宋_GB2312" w:cs="宋体"/>
                <w:kern w:val="0"/>
                <w:sz w:val="24"/>
                <w:szCs w:val="24"/>
              </w:rPr>
            </w:pPr>
            <w:r>
              <w:rPr>
                <w:rFonts w:hint="eastAsia" w:ascii="仿宋_GB2312" w:hAnsi="宋体" w:eastAsia="仿宋_GB2312" w:cs="宋体"/>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748</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p>
        </w:tc>
      </w:tr>
    </w:tbl>
    <w:p>
      <w:pPr>
        <w:rPr>
          <w:rFonts w:ascii="宋体" w:hAnsi="宋体" w:eastAsia="宋体" w:cs="宋体"/>
          <w:kern w:val="0"/>
          <w:sz w:val="24"/>
          <w:szCs w:val="24"/>
        </w:rPr>
      </w:pPr>
      <w:r>
        <w:rPr>
          <w:rFonts w:hint="eastAsia" w:ascii="宋体" w:hAnsi="宋体" w:eastAsia="宋体" w:cs="宋体"/>
          <w:kern w:val="0"/>
          <w:sz w:val="24"/>
          <w:szCs w:val="24"/>
        </w:rPr>
        <w:t>注:当【学术论文分值】超过【初始科研总分】的60%时，需将此项分值按【初始科研总分】的60%计入个人【最后科研总分】（只折算一次）。</w:t>
      </w:r>
    </w:p>
    <w:p>
      <w:pPr>
        <w:rPr>
          <w:rFonts w:ascii="宋体" w:hAnsi="宋体" w:eastAsia="宋体" w:cs="宋体"/>
          <w:kern w:val="0"/>
          <w:sz w:val="24"/>
          <w:szCs w:val="24"/>
        </w:rPr>
      </w:pPr>
    </w:p>
    <w:p>
      <w:r>
        <w:rPr>
          <w:rFonts w:hint="eastAsia" w:ascii="宋体" w:hAnsi="宋体" w:eastAsia="宋体" w:cs="宋体"/>
          <w:kern w:val="0"/>
          <w:sz w:val="24"/>
          <w:szCs w:val="24"/>
        </w:rPr>
        <w:t>二级单位审核者签名：                     职能部门审核者签名：</w:t>
      </w:r>
    </w:p>
    <w:p/>
    <w:p/>
    <w:p>
      <w:pPr>
        <w:widowControl/>
        <w:jc w:val="left"/>
      </w:pPr>
      <w:r>
        <w:br w:type="page"/>
      </w:r>
    </w:p>
    <w:tbl>
      <w:tblPr>
        <w:tblStyle w:val="6"/>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09"/>
        <w:gridCol w:w="708"/>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黑体"/>
                <w:b/>
                <w:bCs/>
                <w:sz w:val="24"/>
                <w:szCs w:val="24"/>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09"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708"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1</w:t>
            </w:r>
          </w:p>
        </w:tc>
        <w:tc>
          <w:tcPr>
            <w:tcW w:w="736" w:type="dxa"/>
            <w:tcBorders>
              <w:tl2br w:val="nil"/>
              <w:tr2bl w:val="nil"/>
            </w:tcBorders>
            <w:vAlign w:val="center"/>
          </w:tcPr>
          <w:p>
            <w:pPr>
              <w:rPr>
                <w:rFonts w:hint="default" w:eastAsiaTheme="minorEastAsia"/>
                <w:lang w:val="en-US" w:eastAsia="zh-CN"/>
              </w:rPr>
            </w:pPr>
            <w:r>
              <w:rPr>
                <w:rFonts w:hint="eastAsia"/>
                <w:lang w:val="en-US" w:eastAsia="zh-CN"/>
              </w:rPr>
              <w:t>D级</w:t>
            </w:r>
          </w:p>
        </w:tc>
        <w:tc>
          <w:tcPr>
            <w:tcW w:w="2196" w:type="dxa"/>
            <w:tcBorders>
              <w:tl2br w:val="nil"/>
              <w:tr2bl w:val="nil"/>
            </w:tcBorders>
            <w:vAlign w:val="center"/>
          </w:tcPr>
          <w:p>
            <w:pPr>
              <w:rPr>
                <w:rFonts w:hint="default" w:eastAsiaTheme="minorEastAsia"/>
                <w:lang w:val="en-US" w:eastAsia="zh-CN"/>
              </w:rPr>
            </w:pPr>
            <w:r>
              <w:rPr>
                <w:rFonts w:hint="eastAsia"/>
                <w:lang w:val="en-US" w:eastAsia="zh-CN"/>
              </w:rPr>
              <w:t>新型SERS基底制备及其在肝癌诊断中的应用</w:t>
            </w:r>
          </w:p>
        </w:tc>
        <w:tc>
          <w:tcPr>
            <w:tcW w:w="1036" w:type="dxa"/>
            <w:tcBorders>
              <w:tl2br w:val="nil"/>
              <w:tr2bl w:val="nil"/>
            </w:tcBorders>
            <w:vAlign w:val="center"/>
          </w:tcPr>
          <w:p>
            <w:pPr>
              <w:rPr>
                <w:rFonts w:hint="default" w:eastAsiaTheme="minorEastAsia"/>
                <w:lang w:val="en-US" w:eastAsia="zh-CN"/>
              </w:rPr>
            </w:pPr>
            <w:r>
              <w:rPr>
                <w:rFonts w:hint="eastAsia"/>
                <w:lang w:val="en-US" w:eastAsia="zh-CN"/>
              </w:rPr>
              <w:t>遵市科协HZ字（2019）5号</w:t>
            </w:r>
          </w:p>
        </w:tc>
        <w:tc>
          <w:tcPr>
            <w:tcW w:w="932" w:type="dxa"/>
            <w:tcBorders>
              <w:tl2br w:val="nil"/>
              <w:tr2bl w:val="nil"/>
            </w:tcBorders>
            <w:vAlign w:val="center"/>
          </w:tcPr>
          <w:p>
            <w:pPr>
              <w:rPr>
                <w:rFonts w:hint="default" w:eastAsiaTheme="minorEastAsia"/>
                <w:lang w:val="en-US" w:eastAsia="zh-CN"/>
              </w:rPr>
            </w:pPr>
            <w:r>
              <w:rPr>
                <w:rFonts w:hint="eastAsia"/>
                <w:lang w:val="en-US" w:eastAsia="zh-CN"/>
              </w:rPr>
              <w:t>遵义市科学技术局</w:t>
            </w:r>
          </w:p>
        </w:tc>
        <w:tc>
          <w:tcPr>
            <w:tcW w:w="850" w:type="dxa"/>
            <w:tcBorders>
              <w:tl2br w:val="nil"/>
              <w:tr2bl w:val="nil"/>
            </w:tcBorders>
            <w:vAlign w:val="center"/>
          </w:tcPr>
          <w:p>
            <w:pPr>
              <w:rPr>
                <w:rFonts w:hint="default" w:eastAsiaTheme="minorEastAsia"/>
                <w:lang w:val="en-US" w:eastAsia="zh-CN"/>
              </w:rPr>
            </w:pPr>
            <w:r>
              <w:rPr>
                <w:rFonts w:hint="eastAsia"/>
                <w:lang w:val="en-US" w:eastAsia="zh-CN"/>
              </w:rPr>
              <w:t>2019年1月</w:t>
            </w:r>
          </w:p>
        </w:tc>
        <w:tc>
          <w:tcPr>
            <w:tcW w:w="851" w:type="dxa"/>
            <w:tcBorders>
              <w:tl2br w:val="nil"/>
              <w:tr2bl w:val="nil"/>
            </w:tcBorders>
            <w:vAlign w:val="center"/>
          </w:tcPr>
          <w:p>
            <w:pPr>
              <w:rPr>
                <w:rFonts w:hint="eastAsia" w:eastAsiaTheme="minorEastAsia"/>
                <w:lang w:val="en-US" w:eastAsia="zh-CN"/>
              </w:rPr>
            </w:pPr>
            <w:r>
              <w:rPr>
                <w:rFonts w:hint="eastAsia"/>
                <w:lang w:val="en-US" w:eastAsia="zh-CN"/>
              </w:rPr>
              <w:t>2</w:t>
            </w:r>
          </w:p>
        </w:tc>
        <w:tc>
          <w:tcPr>
            <w:tcW w:w="709"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8"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pPr>
              <w:rPr>
                <w:rFonts w:hint="default" w:eastAsiaTheme="minorEastAsia"/>
                <w:lang w:val="en-US" w:eastAsia="zh-CN"/>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2</w:t>
            </w:r>
          </w:p>
        </w:tc>
        <w:tc>
          <w:tcPr>
            <w:tcW w:w="736" w:type="dxa"/>
            <w:tcBorders>
              <w:tl2br w:val="nil"/>
              <w:tr2bl w:val="nil"/>
            </w:tcBorders>
            <w:vAlign w:val="center"/>
          </w:tcPr>
          <w:p>
            <w:r>
              <w:rPr>
                <w:rFonts w:hint="eastAsia"/>
                <w:lang w:val="en-US" w:eastAsia="zh-CN"/>
              </w:rPr>
              <w:t>D级</w:t>
            </w:r>
          </w:p>
        </w:tc>
        <w:tc>
          <w:tcPr>
            <w:tcW w:w="2196" w:type="dxa"/>
            <w:tcBorders>
              <w:tl2br w:val="nil"/>
              <w:tr2bl w:val="nil"/>
            </w:tcBorders>
            <w:vAlign w:val="center"/>
          </w:tcPr>
          <w:p>
            <w:pPr>
              <w:rPr>
                <w:rFonts w:hint="default"/>
                <w:lang w:val="en-US"/>
              </w:rPr>
            </w:pPr>
            <w:r>
              <w:rPr>
                <w:rFonts w:ascii="宋体" w:hAnsi="宋体" w:eastAsia="宋体" w:cs="宋体"/>
                <w:b w:val="0"/>
                <w:bCs w:val="0"/>
                <w:color w:val="000000"/>
                <w:sz w:val="19"/>
                <w:szCs w:val="19"/>
              </w:rPr>
              <w:t>TiO</w:t>
            </w:r>
            <w:r>
              <w:rPr>
                <w:rFonts w:ascii="宋体" w:hAnsi="宋体" w:eastAsia="宋体" w:cs="宋体"/>
                <w:b w:val="0"/>
                <w:bCs w:val="0"/>
                <w:color w:val="000000"/>
                <w:sz w:val="19"/>
                <w:szCs w:val="19"/>
                <w:vertAlign w:val="subscript"/>
              </w:rPr>
              <w:t>2</w:t>
            </w:r>
            <w:r>
              <w:rPr>
                <w:rFonts w:ascii="宋体" w:hAnsi="宋体" w:eastAsia="宋体" w:cs="宋体"/>
                <w:b w:val="0"/>
                <w:bCs w:val="0"/>
                <w:color w:val="000000"/>
                <w:sz w:val="19"/>
                <w:szCs w:val="19"/>
              </w:rPr>
              <w:t>/Ag花状基底的制备及其SERS性能研究</w:t>
            </w:r>
          </w:p>
        </w:tc>
        <w:tc>
          <w:tcPr>
            <w:tcW w:w="1036" w:type="dxa"/>
            <w:tcBorders>
              <w:tl2br w:val="nil"/>
              <w:tr2bl w:val="nil"/>
            </w:tcBorders>
            <w:vAlign w:val="center"/>
          </w:tcPr>
          <w:p>
            <w:r>
              <w:rPr>
                <w:rFonts w:hint="eastAsia"/>
                <w:lang w:val="en-US" w:eastAsia="zh-CN"/>
              </w:rPr>
              <w:t>云南师范大学2021年度科研创新基金项目</w:t>
            </w:r>
          </w:p>
        </w:tc>
        <w:tc>
          <w:tcPr>
            <w:tcW w:w="932" w:type="dxa"/>
            <w:tcBorders>
              <w:tl2br w:val="nil"/>
              <w:tr2bl w:val="nil"/>
            </w:tcBorders>
            <w:vAlign w:val="center"/>
          </w:tcPr>
          <w:p/>
        </w:tc>
        <w:tc>
          <w:tcPr>
            <w:tcW w:w="850" w:type="dxa"/>
            <w:tcBorders>
              <w:tl2br w:val="nil"/>
              <w:tr2bl w:val="nil"/>
            </w:tcBorders>
            <w:vAlign w:val="center"/>
          </w:tcPr>
          <w:p>
            <w:pPr>
              <w:rPr>
                <w:rFonts w:hint="default" w:eastAsiaTheme="minorEastAsia"/>
                <w:lang w:val="en-US" w:eastAsia="zh-CN"/>
              </w:rPr>
            </w:pPr>
            <w:r>
              <w:rPr>
                <w:rFonts w:hint="eastAsia"/>
                <w:lang w:val="en-US" w:eastAsia="zh-CN"/>
              </w:rPr>
              <w:t>2021.08</w:t>
            </w:r>
          </w:p>
        </w:tc>
        <w:tc>
          <w:tcPr>
            <w:tcW w:w="851" w:type="dxa"/>
            <w:tcBorders>
              <w:tl2br w:val="nil"/>
              <w:tr2bl w:val="nil"/>
            </w:tcBorders>
            <w:vAlign w:val="center"/>
          </w:tcPr>
          <w:p>
            <w:pPr>
              <w:rPr>
                <w:rFonts w:hint="default" w:eastAsiaTheme="minorEastAsia"/>
                <w:lang w:val="en-US" w:eastAsia="zh-CN"/>
              </w:rPr>
            </w:pPr>
            <w:r>
              <w:rPr>
                <w:rFonts w:hint="eastAsia"/>
                <w:lang w:val="en-US" w:eastAsia="zh-CN"/>
              </w:rPr>
              <w:t>1.5</w:t>
            </w:r>
          </w:p>
        </w:tc>
        <w:tc>
          <w:tcPr>
            <w:tcW w:w="709" w:type="dxa"/>
            <w:tcBorders>
              <w:tl2br w:val="nil"/>
              <w:tr2bl w:val="nil"/>
            </w:tcBorders>
            <w:vAlign w:val="center"/>
          </w:tcPr>
          <w:p>
            <w:pPr>
              <w:rPr>
                <w:rFonts w:hint="default" w:eastAsiaTheme="minorEastAsia"/>
                <w:lang w:val="en-US" w:eastAsia="zh-CN"/>
              </w:rPr>
            </w:pPr>
            <w:r>
              <w:rPr>
                <w:rFonts w:hint="eastAsia"/>
                <w:lang w:val="en-US" w:eastAsia="zh-CN"/>
              </w:rPr>
              <w:t>是</w:t>
            </w:r>
          </w:p>
        </w:tc>
        <w:tc>
          <w:tcPr>
            <w:tcW w:w="708"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pPr>
              <w:rPr>
                <w:rFonts w:hint="default" w:eastAsiaTheme="minorEastAsia"/>
                <w:lang w:val="en-US" w:eastAsia="zh-CN"/>
              </w:rPr>
            </w:pPr>
            <w:r>
              <w:rPr>
                <w:rFonts w:hint="eastAsia"/>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tc>
        <w:tc>
          <w:tcPr>
            <w:tcW w:w="736" w:type="dxa"/>
            <w:tcBorders>
              <w:bottom w:val="single" w:color="000000" w:sz="12" w:space="0"/>
              <w:tl2br w:val="nil"/>
              <w:tr2bl w:val="nil"/>
            </w:tcBorders>
            <w:vAlign w:val="center"/>
          </w:tcPr>
          <w:p/>
        </w:tc>
        <w:tc>
          <w:tcPr>
            <w:tcW w:w="2196" w:type="dxa"/>
            <w:tcBorders>
              <w:bottom w:val="single" w:color="000000" w:sz="12" w:space="0"/>
              <w:tl2br w:val="nil"/>
              <w:tr2bl w:val="nil"/>
            </w:tcBorders>
            <w:vAlign w:val="center"/>
          </w:tcPr>
          <w:p/>
        </w:tc>
        <w:tc>
          <w:tcPr>
            <w:tcW w:w="1036" w:type="dxa"/>
            <w:tcBorders>
              <w:bottom w:val="single" w:color="000000" w:sz="12" w:space="0"/>
              <w:tl2br w:val="nil"/>
              <w:tr2bl w:val="nil"/>
            </w:tcBorders>
            <w:vAlign w:val="center"/>
          </w:tcPr>
          <w:p/>
        </w:tc>
        <w:tc>
          <w:tcPr>
            <w:tcW w:w="932" w:type="dxa"/>
            <w:tcBorders>
              <w:bottom w:val="single" w:color="000000" w:sz="12" w:space="0"/>
              <w:tl2br w:val="nil"/>
              <w:tr2bl w:val="nil"/>
            </w:tcBorders>
            <w:vAlign w:val="center"/>
          </w:tcPr>
          <w:p/>
        </w:tc>
        <w:tc>
          <w:tcPr>
            <w:tcW w:w="850" w:type="dxa"/>
            <w:tcBorders>
              <w:bottom w:val="single" w:color="000000" w:sz="12" w:space="0"/>
              <w:tl2br w:val="nil"/>
              <w:tr2bl w:val="nil"/>
            </w:tcBorders>
            <w:vAlign w:val="center"/>
          </w:tcPr>
          <w:p/>
        </w:tc>
        <w:tc>
          <w:tcPr>
            <w:tcW w:w="851"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c>
          <w:tcPr>
            <w:tcW w:w="708" w:type="dxa"/>
            <w:tcBorders>
              <w:bottom w:val="single" w:color="000000" w:sz="12" w:space="0"/>
              <w:tl2br w:val="nil"/>
              <w:tr2bl w:val="nil"/>
            </w:tcBorders>
            <w:vAlign w:val="center"/>
          </w:tcPr>
          <w:p/>
        </w:tc>
        <w:tc>
          <w:tcPr>
            <w:tcW w:w="709" w:type="dxa"/>
            <w:tcBorders>
              <w:bottom w:val="single" w:color="000000" w:sz="12" w:space="0"/>
              <w:tl2br w:val="nil"/>
              <w:tr2bl w:val="nil"/>
            </w:tcBorders>
            <w:vAlign w:val="center"/>
          </w:tc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pPr>
              <w:rPr>
                <w:rFonts w:hint="eastAsia" w:eastAsiaTheme="minorEastAsia"/>
                <w:lang w:val="en-US" w:eastAsia="zh-CN"/>
              </w:rPr>
            </w:pPr>
            <w:r>
              <w:rPr>
                <w:rFonts w:hint="eastAsia"/>
                <w:lang w:val="en-US" w:eastAsia="zh-CN"/>
              </w:rPr>
              <w:t>1</w:t>
            </w:r>
          </w:p>
        </w:tc>
        <w:tc>
          <w:tcPr>
            <w:tcW w:w="736" w:type="dxa"/>
            <w:tcBorders>
              <w:top w:val="single" w:color="000000" w:sz="12" w:space="0"/>
            </w:tcBorders>
            <w:vAlign w:val="center"/>
          </w:tcPr>
          <w:p/>
        </w:tc>
        <w:tc>
          <w:tcPr>
            <w:tcW w:w="2196" w:type="dxa"/>
            <w:tcBorders>
              <w:top w:val="single" w:color="000000" w:sz="12" w:space="0"/>
            </w:tcBorders>
            <w:vAlign w:val="center"/>
          </w:tcPr>
          <w:p>
            <w:r>
              <w:rPr>
                <w:rFonts w:hint="eastAsia" w:ascii="仿宋_GB2312" w:eastAsia="仿宋_GB2312"/>
                <w:szCs w:val="21"/>
                <w:lang w:val="en-US" w:eastAsia="zh-CN"/>
              </w:rPr>
              <w:t>贵州省大学生创新创业计划《3d打印手术规划模型》</w:t>
            </w:r>
          </w:p>
        </w:tc>
        <w:tc>
          <w:tcPr>
            <w:tcW w:w="1036" w:type="dxa"/>
            <w:tcBorders>
              <w:top w:val="single" w:color="000000" w:sz="12" w:space="0"/>
            </w:tcBorders>
            <w:vAlign w:val="center"/>
          </w:tcPr>
          <w:p>
            <w:r>
              <w:rPr>
                <w:rFonts w:hint="eastAsia" w:ascii="仿宋_GB2312" w:hAnsi="宋体" w:eastAsia="仿宋_GB2312"/>
                <w:sz w:val="24"/>
              </w:rPr>
              <w:t>20195200987</w:t>
            </w:r>
          </w:p>
        </w:tc>
        <w:tc>
          <w:tcPr>
            <w:tcW w:w="932" w:type="dxa"/>
            <w:tcBorders>
              <w:top w:val="single" w:color="000000" w:sz="12" w:space="0"/>
            </w:tcBorders>
            <w:vAlign w:val="center"/>
          </w:tcPr>
          <w:p>
            <w:pPr>
              <w:rPr>
                <w:rFonts w:hint="default" w:eastAsiaTheme="minorEastAsia"/>
                <w:lang w:val="en-US" w:eastAsia="zh-CN"/>
              </w:rPr>
            </w:pPr>
            <w:r>
              <w:rPr>
                <w:rFonts w:hint="eastAsia"/>
                <w:lang w:val="en-US" w:eastAsia="zh-CN"/>
              </w:rPr>
              <w:t>省级大创项目</w:t>
            </w:r>
          </w:p>
        </w:tc>
        <w:tc>
          <w:tcPr>
            <w:tcW w:w="850" w:type="dxa"/>
            <w:tcBorders>
              <w:top w:val="single" w:color="000000" w:sz="12" w:space="0"/>
            </w:tcBorders>
            <w:vAlign w:val="center"/>
          </w:tcPr>
          <w:p>
            <w:pPr>
              <w:rPr>
                <w:rFonts w:hint="default" w:eastAsiaTheme="minorEastAsia"/>
                <w:lang w:val="en-US" w:eastAsia="zh-CN"/>
              </w:rPr>
            </w:pPr>
            <w:r>
              <w:rPr>
                <w:rFonts w:hint="eastAsia"/>
                <w:lang w:val="en-US" w:eastAsia="zh-CN"/>
              </w:rPr>
              <w:t>2019.5</w:t>
            </w:r>
          </w:p>
        </w:tc>
        <w:tc>
          <w:tcPr>
            <w:tcW w:w="851" w:type="dxa"/>
            <w:tcBorders>
              <w:top w:val="single" w:color="000000" w:sz="12" w:space="0"/>
            </w:tcBorders>
            <w:vAlign w:val="center"/>
          </w:tcPr>
          <w:p>
            <w:pPr>
              <w:rPr>
                <w:rFonts w:hint="default" w:eastAsiaTheme="minorEastAsia"/>
                <w:lang w:val="en-US" w:eastAsia="zh-CN"/>
              </w:rPr>
            </w:pPr>
            <w:r>
              <w:rPr>
                <w:rFonts w:hint="eastAsia"/>
                <w:lang w:val="en-US" w:eastAsia="zh-CN"/>
              </w:rPr>
              <w:t>0.5</w:t>
            </w:r>
          </w:p>
        </w:tc>
        <w:tc>
          <w:tcPr>
            <w:tcW w:w="709" w:type="dxa"/>
            <w:tcBorders>
              <w:top w:val="single" w:color="000000" w:sz="12"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op w:val="single" w:color="000000" w:sz="12" w:space="0"/>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9" w:type="dxa"/>
            <w:tcBorders>
              <w:top w:val="single" w:color="000000" w:sz="12" w:space="0"/>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2</w:t>
            </w:r>
          </w:p>
        </w:tc>
        <w:tc>
          <w:tcPr>
            <w:tcW w:w="736" w:type="dxa"/>
            <w:tcBorders>
              <w:tl2br w:val="nil"/>
              <w:tr2bl w:val="nil"/>
            </w:tcBorders>
            <w:vAlign w:val="center"/>
          </w:tcPr>
          <w:p/>
        </w:tc>
        <w:tc>
          <w:tcPr>
            <w:tcW w:w="2196" w:type="dxa"/>
            <w:tcBorders>
              <w:tl2br w:val="nil"/>
              <w:tr2bl w:val="nil"/>
            </w:tcBorders>
            <w:vAlign w:val="center"/>
          </w:tcPr>
          <w:p>
            <w:r>
              <w:rPr>
                <w:rFonts w:hint="eastAsia" w:ascii="仿宋_GB2312" w:eastAsia="仿宋_GB2312"/>
                <w:szCs w:val="21"/>
                <w:lang w:val="en-US" w:eastAsia="zh-CN"/>
              </w:rPr>
              <w:t>遵义医学院教改项目《Multsim在《医学电子学》教学中的全面应用》</w:t>
            </w:r>
          </w:p>
        </w:tc>
        <w:tc>
          <w:tcPr>
            <w:tcW w:w="1036" w:type="dxa"/>
            <w:tcBorders>
              <w:tl2br w:val="nil"/>
              <w:tr2bl w:val="nil"/>
            </w:tcBorders>
            <w:vAlign w:val="center"/>
          </w:tcPr>
          <w:p>
            <w:pPr>
              <w:rPr>
                <w:rFonts w:hint="default" w:eastAsiaTheme="minorEastAsia"/>
                <w:lang w:val="en-US" w:eastAsia="zh-CN"/>
              </w:rPr>
            </w:pPr>
            <w:r>
              <w:rPr>
                <w:rFonts w:hint="eastAsia"/>
                <w:lang w:val="en-US" w:eastAsia="zh-CN"/>
              </w:rPr>
              <w:t>XJJG2018-02-003</w:t>
            </w:r>
          </w:p>
        </w:tc>
        <w:tc>
          <w:tcPr>
            <w:tcW w:w="932" w:type="dxa"/>
            <w:tcBorders>
              <w:tl2br w:val="nil"/>
              <w:tr2bl w:val="nil"/>
            </w:tcBorders>
            <w:vAlign w:val="center"/>
          </w:tcPr>
          <w:p>
            <w:pPr>
              <w:rPr>
                <w:rFonts w:hint="default" w:eastAsiaTheme="minorEastAsia"/>
                <w:lang w:val="en-US" w:eastAsia="zh-CN"/>
              </w:rPr>
            </w:pPr>
            <w:r>
              <w:rPr>
                <w:rFonts w:hint="eastAsia"/>
                <w:lang w:val="en-US" w:eastAsia="zh-CN"/>
              </w:rPr>
              <w:t>遵义医科大学校级教改</w:t>
            </w:r>
          </w:p>
        </w:tc>
        <w:tc>
          <w:tcPr>
            <w:tcW w:w="850" w:type="dxa"/>
            <w:tcBorders>
              <w:tl2br w:val="nil"/>
              <w:tr2bl w:val="nil"/>
            </w:tcBorders>
            <w:vAlign w:val="center"/>
          </w:tcPr>
          <w:p>
            <w:pPr>
              <w:rPr>
                <w:rFonts w:hint="default" w:eastAsiaTheme="minorEastAsia"/>
                <w:lang w:val="en-US" w:eastAsia="zh-CN"/>
              </w:rPr>
            </w:pPr>
            <w:r>
              <w:rPr>
                <w:rFonts w:hint="eastAsia"/>
                <w:lang w:val="en-US" w:eastAsia="zh-CN"/>
              </w:rPr>
              <w:t>2018.9</w:t>
            </w:r>
          </w:p>
        </w:tc>
        <w:tc>
          <w:tcPr>
            <w:tcW w:w="851" w:type="dxa"/>
            <w:tcBorders>
              <w:tl2br w:val="nil"/>
              <w:tr2bl w:val="nil"/>
            </w:tcBorders>
            <w:vAlign w:val="center"/>
          </w:tcPr>
          <w:p>
            <w:pPr>
              <w:rPr>
                <w:rFonts w:hint="default" w:eastAsiaTheme="minorEastAsia"/>
                <w:lang w:val="en-US" w:eastAsia="zh-CN"/>
              </w:rPr>
            </w:pPr>
            <w:r>
              <w:rPr>
                <w:rFonts w:hint="eastAsia"/>
                <w:lang w:val="en-US" w:eastAsia="zh-CN"/>
              </w:rPr>
              <w:t>0.5</w:t>
            </w:r>
          </w:p>
        </w:tc>
        <w:tc>
          <w:tcPr>
            <w:tcW w:w="709" w:type="dxa"/>
            <w:tcBorders>
              <w:tl2br w:val="nil"/>
              <w:tr2bl w:val="nil"/>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8" w:type="dxa"/>
            <w:tcBorders>
              <w:tl2br w:val="nil"/>
              <w:tr2bl w:val="nil"/>
            </w:tcBorders>
            <w:shd w:val="clear" w:color="auto" w:fill="auto"/>
            <w:vAlign w:val="center"/>
          </w:tcPr>
          <w:p>
            <w:pP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c>
          <w:tcPr>
            <w:tcW w:w="709" w:type="dxa"/>
            <w:tcBorders>
              <w:tl2br w:val="nil"/>
              <w:tr2bl w:val="nil"/>
            </w:tcBorders>
            <w:vAlign w:val="center"/>
          </w:tcPr>
          <w:p>
            <w:pPr>
              <w:snapToGrid w:val="0"/>
            </w:pPr>
          </w:p>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tc>
        <w:tc>
          <w:tcPr>
            <w:tcW w:w="478" w:type="dxa"/>
            <w:tcBorders>
              <w:tl2br w:val="nil"/>
              <w:tr2bl w:val="nil"/>
            </w:tcBorders>
            <w:vAlign w:val="center"/>
          </w:tcPr>
          <w:p>
            <w:pPr>
              <w:rPr>
                <w:rFonts w:hint="eastAsia" w:eastAsiaTheme="minorEastAsia"/>
                <w:lang w:val="en-US" w:eastAsia="zh-CN"/>
              </w:rPr>
            </w:pPr>
            <w:r>
              <w:rPr>
                <w:rFonts w:hint="eastAsia"/>
                <w:lang w:val="en-US" w:eastAsia="zh-CN"/>
              </w:rPr>
              <w:t>3</w:t>
            </w:r>
          </w:p>
        </w:tc>
        <w:tc>
          <w:tcPr>
            <w:tcW w:w="736" w:type="dxa"/>
            <w:tcBorders>
              <w:tl2br w:val="nil"/>
              <w:tr2bl w:val="nil"/>
            </w:tcBorders>
            <w:vAlign w:val="center"/>
          </w:tcPr>
          <w:p/>
        </w:tc>
        <w:tc>
          <w:tcPr>
            <w:tcW w:w="2196" w:type="dxa"/>
            <w:tcBorders>
              <w:tl2br w:val="nil"/>
              <w:tr2bl w:val="nil"/>
            </w:tcBorders>
            <w:vAlign w:val="center"/>
          </w:tcPr>
          <w:p>
            <w:pPr>
              <w:rPr>
                <w:rFonts w:hint="default" w:eastAsiaTheme="minorEastAsia"/>
                <w:lang w:val="en-US" w:eastAsia="zh-CN"/>
              </w:rPr>
            </w:pPr>
            <w:r>
              <w:rPr>
                <w:rFonts w:hint="eastAsia"/>
                <w:lang w:val="en-US" w:eastAsia="zh-CN"/>
              </w:rPr>
              <w:t>遵义医科大学大学生创新创业训练计划《3D打印人体骨骼》</w:t>
            </w:r>
          </w:p>
        </w:tc>
        <w:tc>
          <w:tcPr>
            <w:tcW w:w="1036" w:type="dxa"/>
            <w:tcBorders>
              <w:tl2br w:val="nil"/>
              <w:tr2bl w:val="nil"/>
            </w:tcBorders>
            <w:vAlign w:val="center"/>
          </w:tcPr>
          <w:p>
            <w:pPr>
              <w:rPr>
                <w:rFonts w:hint="default" w:eastAsiaTheme="minorEastAsia"/>
                <w:lang w:val="en-US" w:eastAsia="zh-CN"/>
              </w:rPr>
            </w:pPr>
            <w:r>
              <w:rPr>
                <w:rFonts w:hint="eastAsia"/>
                <w:lang w:val="en-US" w:eastAsia="zh-CN"/>
              </w:rPr>
              <w:t>ZYDC208039</w:t>
            </w:r>
          </w:p>
        </w:tc>
        <w:tc>
          <w:tcPr>
            <w:tcW w:w="932" w:type="dxa"/>
            <w:tcBorders>
              <w:tl2br w:val="nil"/>
              <w:tr2bl w:val="nil"/>
            </w:tcBorders>
            <w:vAlign w:val="center"/>
          </w:tcPr>
          <w:p>
            <w:pPr>
              <w:rPr>
                <w:rFonts w:hint="default" w:eastAsiaTheme="minorEastAsia"/>
                <w:lang w:val="en-US" w:eastAsia="zh-CN"/>
              </w:rPr>
            </w:pPr>
            <w:r>
              <w:rPr>
                <w:rFonts w:hint="eastAsia"/>
                <w:lang w:val="en-US" w:eastAsia="zh-CN"/>
              </w:rPr>
              <w:t>校级大创项目</w:t>
            </w:r>
          </w:p>
        </w:tc>
        <w:tc>
          <w:tcPr>
            <w:tcW w:w="850" w:type="dxa"/>
            <w:tcBorders>
              <w:tl2br w:val="nil"/>
              <w:tr2bl w:val="nil"/>
            </w:tcBorders>
            <w:vAlign w:val="center"/>
          </w:tcPr>
          <w:p>
            <w:pPr>
              <w:rPr>
                <w:rFonts w:hint="default" w:eastAsiaTheme="minorEastAsia"/>
                <w:lang w:val="en-US" w:eastAsia="zh-CN"/>
              </w:rPr>
            </w:pPr>
            <w:r>
              <w:rPr>
                <w:rFonts w:hint="eastAsia"/>
                <w:lang w:val="en-US" w:eastAsia="zh-CN"/>
              </w:rPr>
              <w:t>2018.5</w:t>
            </w:r>
          </w:p>
        </w:tc>
        <w:tc>
          <w:tcPr>
            <w:tcW w:w="851" w:type="dxa"/>
            <w:tcBorders>
              <w:tl2br w:val="nil"/>
              <w:tr2bl w:val="nil"/>
            </w:tcBorders>
            <w:vAlign w:val="center"/>
          </w:tcPr>
          <w:p>
            <w:pPr>
              <w:rPr>
                <w:rFonts w:hint="default" w:eastAsiaTheme="minorEastAsia"/>
                <w:lang w:val="en-US" w:eastAsia="zh-CN"/>
              </w:rPr>
            </w:pPr>
            <w:r>
              <w:rPr>
                <w:rFonts w:hint="eastAsia"/>
                <w:lang w:val="en-US" w:eastAsia="zh-CN"/>
              </w:rPr>
              <w:t>0.3</w:t>
            </w:r>
          </w:p>
        </w:tc>
        <w:tc>
          <w:tcPr>
            <w:tcW w:w="709"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8" w:type="dxa"/>
            <w:tcBorders>
              <w:tl2br w:val="nil"/>
              <w:tr2bl w:val="nil"/>
            </w:tcBorders>
            <w:vAlign w:val="center"/>
          </w:tcPr>
          <w:p>
            <w:pPr>
              <w:rPr>
                <w:rFonts w:hint="eastAsia" w:eastAsiaTheme="minorEastAsia"/>
                <w:lang w:val="en-US" w:eastAsia="zh-CN"/>
              </w:rPr>
            </w:pPr>
            <w:r>
              <w:rPr>
                <w:rFonts w:hint="eastAsia"/>
                <w:lang w:val="en-US" w:eastAsia="zh-CN"/>
              </w:rPr>
              <w:t>是</w:t>
            </w:r>
          </w:p>
        </w:tc>
        <w:tc>
          <w:tcPr>
            <w:tcW w:w="709" w:type="dxa"/>
            <w:tcBorders>
              <w:tl2br w:val="nil"/>
              <w:tr2bl w:val="nil"/>
            </w:tcBorders>
            <w:vAlign w:val="center"/>
          </w:tcPr>
          <w:p>
            <w:pPr>
              <w:snapToGrid w:val="0"/>
            </w:pPr>
          </w:p>
          <w:p/>
        </w:tc>
      </w:tr>
    </w:tbl>
    <w:p>
      <w:pPr>
        <w:ind w:firstLine="420" w:firstLineChars="200"/>
      </w:pPr>
      <w:r>
        <w:rPr>
          <w:rFonts w:hint="eastAsia"/>
        </w:rPr>
        <w:t>注：人文社科类参考评审文件附件1-4填写，自然科学类参考附件1-5填写，项目等级：</w:t>
      </w:r>
      <w:r>
        <w:rPr>
          <w:rFonts w:hint="eastAsia"/>
          <w:b/>
          <w:bCs/>
        </w:rPr>
        <w:t>可计分类</w:t>
      </w:r>
      <w:r>
        <w:rPr>
          <w:rFonts w:hint="eastAsia"/>
        </w:rPr>
        <w:t>按A1到</w:t>
      </w:r>
      <w:r>
        <w:t>E3</w:t>
      </w:r>
      <w:r>
        <w:rPr>
          <w:rFonts w:hint="eastAsia"/>
        </w:rPr>
        <w:t>级填写，不可计分类为F级。</w:t>
      </w:r>
    </w:p>
    <w:tbl>
      <w:tblPr>
        <w:tblStyle w:val="6"/>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92"/>
        <w:gridCol w:w="840"/>
        <w:gridCol w:w="859"/>
        <w:gridCol w:w="1963"/>
        <w:gridCol w:w="1682"/>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92" w:type="dxa"/>
            <w:tcBorders>
              <w:tl2br w:val="nil"/>
              <w:tr2bl w:val="nil"/>
            </w:tcBorders>
            <w:vAlign w:val="center"/>
          </w:tcPr>
          <w:p>
            <w:pPr>
              <w:jc w:val="center"/>
              <w:rPr>
                <w:rFonts w:eastAsia="宋体"/>
                <w:b/>
                <w:bCs/>
              </w:rPr>
            </w:pPr>
            <w:r>
              <w:rPr>
                <w:rFonts w:hint="eastAsia" w:eastAsia="宋体"/>
                <w:b/>
                <w:bCs/>
              </w:rPr>
              <w:t>类别</w:t>
            </w:r>
          </w:p>
        </w:tc>
        <w:tc>
          <w:tcPr>
            <w:tcW w:w="840" w:type="dxa"/>
            <w:tcBorders>
              <w:tl2br w:val="nil"/>
              <w:tr2bl w:val="nil"/>
            </w:tcBorders>
            <w:vAlign w:val="center"/>
          </w:tcPr>
          <w:p>
            <w:pPr>
              <w:jc w:val="center"/>
              <w:rPr>
                <w:rFonts w:eastAsia="宋体"/>
                <w:b/>
                <w:bCs/>
              </w:rPr>
            </w:pPr>
            <w:r>
              <w:rPr>
                <w:rFonts w:hint="eastAsia"/>
                <w:b/>
                <w:bCs/>
              </w:rPr>
              <w:t>序号</w:t>
            </w:r>
          </w:p>
        </w:tc>
        <w:tc>
          <w:tcPr>
            <w:tcW w:w="859"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1963" w:type="dxa"/>
            <w:tcBorders>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1682" w:type="dxa"/>
            <w:tcBorders>
              <w:tl2br w:val="nil"/>
              <w:tr2bl w:val="nil"/>
            </w:tcBorders>
            <w:vAlign w:val="center"/>
          </w:tcPr>
          <w:p>
            <w:pPr>
              <w:widowControl/>
              <w:jc w:val="center"/>
              <w:rPr>
                <w:rFonts w:eastAsia="宋体"/>
                <w:b/>
                <w:bCs/>
              </w:rPr>
            </w:pPr>
            <w:r>
              <w:rPr>
                <w:rFonts w:hint="eastAsia" w:ascii="宋体" w:hAnsi="宋体" w:cs="Arial"/>
                <w:b/>
                <w:bCs/>
                <w:kern w:val="0"/>
                <w:szCs w:val="21"/>
              </w:rPr>
              <w:t>刊物名称，发表</w:t>
            </w:r>
            <w:r>
              <w:rPr>
                <w:rFonts w:hint="eastAsia"/>
                <w:b/>
                <w:bCs/>
              </w:rPr>
              <w:t>年月</w:t>
            </w:r>
            <w:r>
              <w:rPr>
                <w:rFonts w:hint="eastAsia" w:ascii="宋体" w:hAnsi="宋体" w:cs="Arial"/>
                <w:b/>
                <w:bCs/>
                <w:kern w:val="0"/>
                <w:szCs w:val="21"/>
              </w:rPr>
              <w:t>和刊期</w:t>
            </w:r>
          </w:p>
        </w:tc>
        <w:tc>
          <w:tcPr>
            <w:tcW w:w="796" w:type="dxa"/>
            <w:tcBorders>
              <w:tl2br w:val="nil"/>
              <w:tr2bl w:val="nil"/>
            </w:tcBorders>
            <w:vAlign w:val="center"/>
          </w:tcPr>
          <w:p>
            <w:pPr>
              <w:widowControl/>
              <w:jc w:val="center"/>
              <w:rPr>
                <w:rFonts w:eastAsia="宋体"/>
                <w:b/>
                <w:bCs/>
              </w:rPr>
            </w:pPr>
            <w:r>
              <w:rPr>
                <w:rFonts w:hint="eastAsia" w:eastAsia="宋体"/>
                <w:b/>
                <w:bCs/>
              </w:rPr>
              <w:t>个人占比</w:t>
            </w:r>
          </w:p>
        </w:tc>
        <w:tc>
          <w:tcPr>
            <w:tcW w:w="923" w:type="dxa"/>
            <w:tcBorders>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rPr>
              <w:t>(有或无)</w:t>
            </w:r>
          </w:p>
        </w:tc>
        <w:tc>
          <w:tcPr>
            <w:tcW w:w="831"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92" w:type="dxa"/>
            <w:vMerge w:val="restart"/>
            <w:tcBorders>
              <w:tl2br w:val="nil"/>
              <w:tr2bl w:val="nil"/>
            </w:tcBorders>
            <w:vAlign w:val="center"/>
          </w:tcPr>
          <w:p>
            <w:pPr>
              <w:jc w:val="center"/>
            </w:pPr>
            <w:r>
              <w:rPr>
                <w:rFonts w:hint="eastAsia"/>
                <w:b/>
                <w:bCs/>
              </w:rPr>
              <w:t>可计分</w:t>
            </w: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1</w:t>
            </w:r>
          </w:p>
        </w:tc>
        <w:tc>
          <w:tcPr>
            <w:tcW w:w="859"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B级</w:t>
            </w:r>
          </w:p>
        </w:tc>
        <w:tc>
          <w:tcPr>
            <w:tcW w:w="1963" w:type="dxa"/>
            <w:tcBorders>
              <w:tl2br w:val="nil"/>
              <w:tr2bl w:val="nil"/>
            </w:tcBorders>
            <w:vAlign w:val="center"/>
          </w:tcPr>
          <w:p>
            <w:pPr>
              <w:widowControl/>
              <w:jc w:val="center"/>
              <w:rPr>
                <w:rFonts w:hint="default" w:eastAsiaTheme="minorEastAsia"/>
                <w:lang w:val="en-US" w:eastAsia="zh-CN"/>
              </w:rPr>
            </w:pPr>
            <w:r>
              <w:rPr>
                <w:rFonts w:ascii="Times New Roman" w:hAnsi="Times New Roman"/>
                <w:sz w:val="18"/>
                <w:szCs w:val="18"/>
              </w:rPr>
              <w:t>Concave gold nano-arrows (AuCNAs) for efficient catalytic reduction of 4-nitrophenol</w:t>
            </w:r>
          </w:p>
        </w:tc>
        <w:tc>
          <w:tcPr>
            <w:tcW w:w="1682" w:type="dxa"/>
            <w:tcBorders>
              <w:tl2br w:val="nil"/>
              <w:tr2bl w:val="nil"/>
            </w:tcBorders>
            <w:shd w:val="clear" w:color="auto" w:fill="auto"/>
            <w:vAlign w:val="center"/>
          </w:tcPr>
          <w:p>
            <w:pPr>
              <w:spacing w:line="300" w:lineRule="exact"/>
              <w:jc w:val="center"/>
              <w:rPr>
                <w:rFonts w:hint="eastAsia" w:ascii="Times New Roman" w:hAnsi="Times New Roman" w:eastAsiaTheme="minorEastAsia" w:cstheme="minorBidi"/>
                <w:kern w:val="2"/>
                <w:sz w:val="18"/>
                <w:szCs w:val="18"/>
                <w:lang w:val="en-US" w:eastAsia="zh-CN" w:bidi="ar-SA"/>
              </w:rPr>
            </w:pPr>
            <w:r>
              <w:rPr>
                <w:rFonts w:ascii="Times New Roman" w:hAnsi="Times New Roman"/>
                <w:sz w:val="18"/>
                <w:szCs w:val="18"/>
              </w:rPr>
              <w:t>Chemosphere</w:t>
            </w:r>
            <w:r>
              <w:rPr>
                <w:rFonts w:hint="eastAsia" w:ascii="Times New Roman" w:hAnsi="Times New Roman"/>
                <w:sz w:val="18"/>
                <w:szCs w:val="18"/>
                <w:lang w:val="en-US" w:eastAsia="zh-CN"/>
              </w:rPr>
              <w:t>,</w:t>
            </w:r>
            <w:r>
              <w:rPr>
                <w:rFonts w:ascii="Times New Roman" w:hAnsi="Times New Roman"/>
                <w:sz w:val="18"/>
                <w:szCs w:val="18"/>
              </w:rPr>
              <w:t>2022, 12.1-8</w:t>
            </w:r>
          </w:p>
        </w:tc>
        <w:tc>
          <w:tcPr>
            <w:tcW w:w="796"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共一</w:t>
            </w:r>
          </w:p>
        </w:tc>
        <w:tc>
          <w:tcPr>
            <w:tcW w:w="923" w:type="dxa"/>
            <w:tcBorders>
              <w:tl2br w:val="nil"/>
              <w:tr2bl w:val="nil"/>
            </w:tcBorders>
            <w:vAlign w:val="center"/>
          </w:tcPr>
          <w:p>
            <w:pPr>
              <w:widowControl/>
              <w:jc w:val="center"/>
            </w:pPr>
          </w:p>
        </w:tc>
        <w:tc>
          <w:tcPr>
            <w:tcW w:w="1210" w:type="dxa"/>
            <w:tcBorders>
              <w:tl2br w:val="nil"/>
              <w:tr2bl w:val="nil"/>
            </w:tcBorders>
            <w:vAlign w:val="center"/>
          </w:tcPr>
          <w:p>
            <w:pPr>
              <w:widowControl/>
              <w:jc w:val="center"/>
              <w:rPr>
                <w:rFonts w:hint="eastAsia" w:eastAsiaTheme="minorEastAsia"/>
                <w:lang w:val="en-US" w:eastAsia="zh-CN"/>
              </w:rPr>
            </w:pPr>
            <w:r>
              <w:rPr>
                <w:rFonts w:hint="eastAsia"/>
                <w:lang w:val="en-US" w:eastAsia="zh-CN"/>
              </w:rPr>
              <w:t>有</w:t>
            </w:r>
          </w:p>
        </w:tc>
        <w:tc>
          <w:tcPr>
            <w:tcW w:w="831"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92" w:type="dxa"/>
            <w:vMerge w:val="continue"/>
            <w:tcBorders>
              <w:tl2br w:val="nil"/>
              <w:tr2bl w:val="nil"/>
            </w:tcBorders>
            <w:vAlign w:val="center"/>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2</w:t>
            </w:r>
          </w:p>
        </w:tc>
        <w:tc>
          <w:tcPr>
            <w:tcW w:w="859" w:type="dxa"/>
            <w:tcBorders>
              <w:tl2br w:val="nil"/>
              <w:tr2bl w:val="nil"/>
            </w:tcBorders>
            <w:vAlign w:val="center"/>
          </w:tcPr>
          <w:p>
            <w:pPr>
              <w:widowControl/>
              <w:jc w:val="center"/>
            </w:pPr>
            <w:r>
              <w:rPr>
                <w:rFonts w:hint="eastAsia"/>
                <w:lang w:val="en-US" w:eastAsia="zh-CN"/>
              </w:rPr>
              <w:t>B级</w:t>
            </w:r>
          </w:p>
        </w:tc>
        <w:tc>
          <w:tcPr>
            <w:tcW w:w="1963" w:type="dxa"/>
            <w:tcBorders>
              <w:tl2br w:val="nil"/>
              <w:tr2bl w:val="nil"/>
            </w:tcBorders>
            <w:vAlign w:val="center"/>
          </w:tcPr>
          <w:p>
            <w:pPr>
              <w:widowControl/>
              <w:jc w:val="center"/>
            </w:pPr>
            <w:r>
              <w:rPr>
                <w:rFonts w:ascii="Times New Roman" w:hAnsi="Times New Roman"/>
                <w:sz w:val="18"/>
                <w:szCs w:val="18"/>
              </w:rPr>
              <w:t>Substrate-Free Fabrication of Single-Crystal Two-Dimensional Gold Nanoplates for Catalytic Application</w:t>
            </w:r>
          </w:p>
        </w:tc>
        <w:tc>
          <w:tcPr>
            <w:tcW w:w="1682" w:type="dxa"/>
            <w:tcBorders>
              <w:tl2br w:val="nil"/>
              <w:tr2bl w:val="nil"/>
            </w:tcBorders>
            <w:vAlign w:val="center"/>
          </w:tcPr>
          <w:p>
            <w:pPr>
              <w:widowControl/>
              <w:jc w:val="center"/>
              <w:rPr>
                <w:rFonts w:hint="eastAsia" w:eastAsiaTheme="minorEastAsia"/>
                <w:lang w:eastAsia="zh-CN"/>
              </w:rPr>
            </w:pPr>
            <w:r>
              <w:rPr>
                <w:rFonts w:ascii="Times New Roman" w:hAnsi="Times New Roman"/>
                <w:sz w:val="18"/>
                <w:szCs w:val="18"/>
              </w:rPr>
              <w:t>Langmuir</w:t>
            </w:r>
            <w:r>
              <w:rPr>
                <w:rFonts w:hint="eastAsia" w:ascii="Times New Roman" w:hAnsi="Times New Roman"/>
                <w:sz w:val="18"/>
                <w:szCs w:val="18"/>
                <w:lang w:eastAsia="zh-CN"/>
              </w:rPr>
              <w:t>，</w:t>
            </w:r>
            <w:r>
              <w:rPr>
                <w:rFonts w:hint="eastAsia" w:ascii="Times New Roman" w:hAnsi="Times New Roman"/>
                <w:sz w:val="18"/>
                <w:szCs w:val="18"/>
              </w:rPr>
              <w:t>2022</w:t>
            </w:r>
            <w:r>
              <w:rPr>
                <w:rFonts w:ascii="Times New Roman" w:hAnsi="Times New Roman"/>
                <w:sz w:val="18"/>
                <w:szCs w:val="18"/>
              </w:rPr>
              <w:t>.12.</w:t>
            </w:r>
            <w:r>
              <w:rPr>
                <w:rFonts w:hint="eastAsia" w:ascii="Times New Roman" w:hAnsi="Times New Roman"/>
                <w:sz w:val="18"/>
                <w:szCs w:val="18"/>
              </w:rPr>
              <w:t>15263-15271</w:t>
            </w:r>
          </w:p>
        </w:tc>
        <w:tc>
          <w:tcPr>
            <w:tcW w:w="796"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共一</w:t>
            </w:r>
          </w:p>
        </w:tc>
        <w:tc>
          <w:tcPr>
            <w:tcW w:w="923" w:type="dxa"/>
            <w:tcBorders>
              <w:tl2br w:val="nil"/>
              <w:tr2bl w:val="nil"/>
            </w:tcBorders>
            <w:vAlign w:val="center"/>
          </w:tcPr>
          <w:p>
            <w:pPr>
              <w:widowControl/>
              <w:jc w:val="center"/>
            </w:pPr>
          </w:p>
        </w:tc>
        <w:tc>
          <w:tcPr>
            <w:tcW w:w="1210" w:type="dxa"/>
            <w:tcBorders>
              <w:tl2br w:val="nil"/>
              <w:tr2bl w:val="nil"/>
            </w:tcBorders>
            <w:vAlign w:val="center"/>
          </w:tcPr>
          <w:p>
            <w:pPr>
              <w:widowControl/>
              <w:jc w:val="center"/>
            </w:pPr>
            <w:r>
              <w:rPr>
                <w:rFonts w:hint="eastAsia"/>
                <w:lang w:val="en-US" w:eastAsia="zh-CN"/>
              </w:rPr>
              <w:t>有</w:t>
            </w:r>
          </w:p>
        </w:tc>
        <w:tc>
          <w:tcPr>
            <w:tcW w:w="831"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3" w:hRule="atLeast"/>
        </w:trPr>
        <w:tc>
          <w:tcPr>
            <w:tcW w:w="692" w:type="dxa"/>
            <w:vMerge w:val="continue"/>
            <w:tcBorders>
              <w:tl2br w:val="nil"/>
              <w:tr2bl w:val="nil"/>
            </w:tcBorders>
            <w:vAlign w:val="center"/>
          </w:tcPr>
          <w:p>
            <w:pPr>
              <w:jc w:val="center"/>
            </w:pPr>
          </w:p>
        </w:tc>
        <w:tc>
          <w:tcPr>
            <w:tcW w:w="840" w:type="dxa"/>
            <w:tcBorders>
              <w:bottom w:val="single" w:color="000000" w:sz="12" w:space="0"/>
              <w:tl2br w:val="nil"/>
              <w:tr2bl w:val="nil"/>
            </w:tcBorders>
            <w:vAlign w:val="center"/>
          </w:tcPr>
          <w:p>
            <w:pPr>
              <w:jc w:val="center"/>
              <w:rPr>
                <w:rFonts w:hint="eastAsia" w:eastAsiaTheme="minorEastAsia"/>
                <w:lang w:val="en-US" w:eastAsia="zh-CN"/>
              </w:rPr>
            </w:pPr>
            <w:r>
              <w:rPr>
                <w:rFonts w:hint="eastAsia"/>
                <w:lang w:val="en-US" w:eastAsia="zh-CN"/>
              </w:rPr>
              <w:t>3</w:t>
            </w:r>
          </w:p>
        </w:tc>
        <w:tc>
          <w:tcPr>
            <w:tcW w:w="859"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D级</w:t>
            </w:r>
          </w:p>
        </w:tc>
        <w:tc>
          <w:tcPr>
            <w:tcW w:w="1963" w:type="dxa"/>
            <w:tcBorders>
              <w:bottom w:val="single" w:color="000000" w:sz="12" w:space="0"/>
              <w:tl2br w:val="nil"/>
              <w:tr2bl w:val="nil"/>
            </w:tcBorders>
            <w:vAlign w:val="center"/>
          </w:tcPr>
          <w:p>
            <w:pPr>
              <w:widowControl/>
              <w:jc w:val="center"/>
            </w:pPr>
            <w:r>
              <w:rPr>
                <w:rFonts w:ascii="Times New Roman" w:hAnsi="Times New Roman"/>
                <w:sz w:val="18"/>
                <w:szCs w:val="18"/>
              </w:rPr>
              <w:t>Ultrasensitive flower-like TiO</w:t>
            </w:r>
            <w:r>
              <w:rPr>
                <w:rFonts w:ascii="Times New Roman" w:hAnsi="Times New Roman"/>
                <w:sz w:val="18"/>
                <w:szCs w:val="18"/>
                <w:vertAlign w:val="subscript"/>
              </w:rPr>
              <w:t>2</w:t>
            </w:r>
            <w:r>
              <w:rPr>
                <w:rFonts w:ascii="Times New Roman" w:hAnsi="Times New Roman"/>
                <w:sz w:val="18"/>
                <w:szCs w:val="18"/>
              </w:rPr>
              <w:t>/Ag substrate for SERS detection of pigments and melamine</w:t>
            </w:r>
          </w:p>
        </w:tc>
        <w:tc>
          <w:tcPr>
            <w:tcW w:w="1682" w:type="dxa"/>
            <w:tcBorders>
              <w:bottom w:val="single" w:color="000000" w:sz="12" w:space="0"/>
              <w:tl2br w:val="nil"/>
              <w:tr2bl w:val="nil"/>
            </w:tcBorders>
            <w:vAlign w:val="center"/>
          </w:tcPr>
          <w:p>
            <w:pPr>
              <w:widowControl/>
              <w:jc w:val="center"/>
              <w:rPr>
                <w:rFonts w:hint="eastAsia" w:eastAsiaTheme="minorEastAsia"/>
                <w:lang w:eastAsia="zh-CN"/>
              </w:rPr>
            </w:pPr>
            <w:r>
              <w:rPr>
                <w:rFonts w:ascii="Times New Roman" w:hAnsi="Times New Roman"/>
                <w:sz w:val="18"/>
                <w:szCs w:val="18"/>
              </w:rPr>
              <w:t>RSC Advances</w:t>
            </w:r>
            <w:r>
              <w:rPr>
                <w:rFonts w:hint="eastAsia" w:ascii="Times New Roman" w:hAnsi="Times New Roman"/>
                <w:sz w:val="18"/>
                <w:szCs w:val="18"/>
                <w:lang w:eastAsia="zh-CN"/>
              </w:rPr>
              <w:t>，</w:t>
            </w:r>
            <w:r>
              <w:rPr>
                <w:rFonts w:ascii="Times New Roman" w:hAnsi="Times New Roman"/>
                <w:sz w:val="18"/>
                <w:szCs w:val="18"/>
              </w:rPr>
              <w:t>2022. 3.6958-6965</w:t>
            </w:r>
          </w:p>
        </w:tc>
        <w:tc>
          <w:tcPr>
            <w:tcW w:w="796"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第一作者</w:t>
            </w:r>
          </w:p>
        </w:tc>
        <w:tc>
          <w:tcPr>
            <w:tcW w:w="923" w:type="dxa"/>
            <w:tcBorders>
              <w:bottom w:val="single" w:color="000000" w:sz="12" w:space="0"/>
              <w:tl2br w:val="nil"/>
              <w:tr2bl w:val="nil"/>
            </w:tcBorders>
            <w:vAlign w:val="center"/>
          </w:tcPr>
          <w:p>
            <w:pPr>
              <w:widowControl/>
              <w:jc w:val="center"/>
            </w:pPr>
          </w:p>
        </w:tc>
        <w:tc>
          <w:tcPr>
            <w:tcW w:w="1210" w:type="dxa"/>
            <w:tcBorders>
              <w:bottom w:val="single" w:color="000000" w:sz="12" w:space="0"/>
              <w:tl2br w:val="nil"/>
              <w:tr2bl w:val="nil"/>
            </w:tcBorders>
            <w:vAlign w:val="center"/>
          </w:tcPr>
          <w:p>
            <w:pPr>
              <w:widowControl/>
              <w:jc w:val="center"/>
            </w:pPr>
            <w:r>
              <w:rPr>
                <w:rFonts w:hint="eastAsia"/>
                <w:lang w:val="en-US" w:eastAsia="zh-CN"/>
              </w:rPr>
              <w:t>有</w:t>
            </w:r>
          </w:p>
        </w:tc>
        <w:tc>
          <w:tcPr>
            <w:tcW w:w="831"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tl2br w:val="nil"/>
              <w:tr2bl w:val="nil"/>
            </w:tcBorders>
            <w:vAlign w:val="center"/>
          </w:tcPr>
          <w:p>
            <w:pPr>
              <w:jc w:val="center"/>
            </w:pPr>
          </w:p>
        </w:tc>
        <w:tc>
          <w:tcPr>
            <w:tcW w:w="840" w:type="dxa"/>
            <w:tcBorders>
              <w:bottom w:val="single" w:color="000000" w:sz="12" w:space="0"/>
              <w:tl2br w:val="nil"/>
              <w:tr2bl w:val="nil"/>
            </w:tcBorders>
            <w:vAlign w:val="center"/>
          </w:tcPr>
          <w:p>
            <w:pPr>
              <w:jc w:val="center"/>
              <w:rPr>
                <w:rFonts w:hint="default"/>
                <w:lang w:val="en-US" w:eastAsia="zh-CN"/>
              </w:rPr>
            </w:pPr>
            <w:r>
              <w:rPr>
                <w:rFonts w:hint="eastAsia"/>
                <w:lang w:val="en-US" w:eastAsia="zh-CN"/>
              </w:rPr>
              <w:t>4</w:t>
            </w:r>
          </w:p>
        </w:tc>
        <w:tc>
          <w:tcPr>
            <w:tcW w:w="859" w:type="dxa"/>
            <w:tcBorders>
              <w:bottom w:val="single" w:color="000000" w:sz="12" w:space="0"/>
              <w:tl2br w:val="nil"/>
              <w:tr2bl w:val="nil"/>
            </w:tcBorders>
            <w:vAlign w:val="center"/>
          </w:tcPr>
          <w:p>
            <w:pPr>
              <w:widowControl/>
              <w:jc w:val="center"/>
            </w:pPr>
            <w:r>
              <w:rPr>
                <w:rFonts w:hint="eastAsia"/>
                <w:lang w:val="en-US" w:eastAsia="zh-CN"/>
              </w:rPr>
              <w:t>D级</w:t>
            </w:r>
          </w:p>
        </w:tc>
        <w:tc>
          <w:tcPr>
            <w:tcW w:w="1963" w:type="dxa"/>
            <w:tcBorders>
              <w:bottom w:val="single" w:color="000000" w:sz="12" w:space="0"/>
              <w:tl2br w:val="nil"/>
              <w:tr2bl w:val="nil"/>
            </w:tcBorders>
            <w:vAlign w:val="center"/>
          </w:tcPr>
          <w:p>
            <w:pPr>
              <w:widowControl/>
              <w:jc w:val="center"/>
            </w:pPr>
            <w:r>
              <w:rPr>
                <w:rFonts w:ascii="Times New Roman" w:hAnsi="Times New Roman"/>
                <w:sz w:val="18"/>
                <w:szCs w:val="18"/>
              </w:rPr>
              <w:t>High Sensing Performance Toward Acetone Vapor Using TiO</w:t>
            </w:r>
            <w:r>
              <w:rPr>
                <w:rFonts w:ascii="Times New Roman" w:hAnsi="Times New Roman"/>
                <w:sz w:val="18"/>
                <w:szCs w:val="18"/>
                <w:vertAlign w:val="subscript"/>
              </w:rPr>
              <w:t>2</w:t>
            </w:r>
            <w:r>
              <w:rPr>
                <w:rFonts w:ascii="Times New Roman" w:hAnsi="Times New Roman"/>
                <w:sz w:val="18"/>
                <w:szCs w:val="18"/>
              </w:rPr>
              <w:t xml:space="preserve"> Flower-Like Nanomaterials</w:t>
            </w:r>
          </w:p>
        </w:tc>
        <w:tc>
          <w:tcPr>
            <w:tcW w:w="1682" w:type="dxa"/>
            <w:tcBorders>
              <w:bottom w:val="single" w:color="000000" w:sz="12" w:space="0"/>
              <w:tl2br w:val="nil"/>
              <w:tr2bl w:val="nil"/>
            </w:tcBorders>
            <w:vAlign w:val="center"/>
          </w:tcPr>
          <w:p>
            <w:pPr>
              <w:widowControl/>
              <w:jc w:val="center"/>
              <w:rPr>
                <w:rFonts w:hint="eastAsia" w:eastAsiaTheme="minorEastAsia"/>
                <w:lang w:eastAsia="zh-CN"/>
              </w:rPr>
            </w:pPr>
            <w:r>
              <w:rPr>
                <w:rFonts w:ascii="Times New Roman" w:hAnsi="Times New Roman"/>
                <w:sz w:val="18"/>
                <w:szCs w:val="18"/>
              </w:rPr>
              <w:t>Nanoscale Research Letters</w:t>
            </w:r>
            <w:r>
              <w:rPr>
                <w:rFonts w:hint="eastAsia" w:ascii="Times New Roman" w:hAnsi="Times New Roman"/>
                <w:sz w:val="18"/>
                <w:szCs w:val="18"/>
                <w:lang w:eastAsia="zh-CN"/>
              </w:rPr>
              <w:t>，</w:t>
            </w:r>
            <w:r>
              <w:rPr>
                <w:rFonts w:ascii="Times New Roman" w:hAnsi="Times New Roman"/>
                <w:sz w:val="18"/>
                <w:szCs w:val="18"/>
              </w:rPr>
              <w:t>2022.9.1-9</w:t>
            </w:r>
          </w:p>
        </w:tc>
        <w:tc>
          <w:tcPr>
            <w:tcW w:w="796" w:type="dxa"/>
            <w:tcBorders>
              <w:bottom w:val="single" w:color="000000" w:sz="12" w:space="0"/>
              <w:tl2br w:val="nil"/>
              <w:tr2bl w:val="nil"/>
            </w:tcBorders>
            <w:vAlign w:val="center"/>
          </w:tcPr>
          <w:p>
            <w:pPr>
              <w:widowControl/>
              <w:jc w:val="center"/>
            </w:pPr>
            <w:r>
              <w:rPr>
                <w:rFonts w:hint="eastAsia"/>
                <w:lang w:val="en-US" w:eastAsia="zh-CN"/>
              </w:rPr>
              <w:t>第一作者</w:t>
            </w:r>
          </w:p>
        </w:tc>
        <w:tc>
          <w:tcPr>
            <w:tcW w:w="923" w:type="dxa"/>
            <w:tcBorders>
              <w:bottom w:val="single" w:color="000000" w:sz="12" w:space="0"/>
              <w:tl2br w:val="nil"/>
              <w:tr2bl w:val="nil"/>
            </w:tcBorders>
            <w:vAlign w:val="center"/>
          </w:tcPr>
          <w:p>
            <w:pPr>
              <w:widowControl/>
              <w:jc w:val="center"/>
            </w:pPr>
          </w:p>
        </w:tc>
        <w:tc>
          <w:tcPr>
            <w:tcW w:w="1210" w:type="dxa"/>
            <w:tcBorders>
              <w:bottom w:val="single" w:color="000000" w:sz="12" w:space="0"/>
              <w:tl2br w:val="nil"/>
              <w:tr2bl w:val="nil"/>
            </w:tcBorders>
            <w:vAlign w:val="center"/>
          </w:tcPr>
          <w:p>
            <w:pPr>
              <w:widowControl/>
              <w:jc w:val="center"/>
            </w:pPr>
            <w:r>
              <w:rPr>
                <w:rFonts w:hint="eastAsia"/>
                <w:lang w:val="en-US" w:eastAsia="zh-CN"/>
              </w:rPr>
              <w:t>有</w:t>
            </w:r>
          </w:p>
        </w:tc>
        <w:tc>
          <w:tcPr>
            <w:tcW w:w="831"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92" w:type="dxa"/>
            <w:vMerge w:val="continue"/>
            <w:tcBorders>
              <w:bottom w:val="single" w:color="000000" w:sz="12" w:space="0"/>
              <w:tl2br w:val="nil"/>
              <w:tr2bl w:val="nil"/>
            </w:tcBorders>
            <w:vAlign w:val="center"/>
          </w:tcPr>
          <w:p>
            <w:pPr>
              <w:jc w:val="center"/>
            </w:pPr>
          </w:p>
        </w:tc>
        <w:tc>
          <w:tcPr>
            <w:tcW w:w="840" w:type="dxa"/>
            <w:tcBorders>
              <w:bottom w:val="single" w:color="000000" w:sz="12" w:space="0"/>
              <w:tl2br w:val="nil"/>
              <w:tr2bl w:val="nil"/>
            </w:tcBorders>
            <w:vAlign w:val="center"/>
          </w:tcPr>
          <w:p>
            <w:pPr>
              <w:jc w:val="center"/>
              <w:rPr>
                <w:rFonts w:hint="default"/>
                <w:lang w:val="en-US" w:eastAsia="zh-CN"/>
              </w:rPr>
            </w:pPr>
            <w:r>
              <w:rPr>
                <w:rFonts w:hint="eastAsia"/>
                <w:lang w:val="en-US" w:eastAsia="zh-CN"/>
              </w:rPr>
              <w:t>5</w:t>
            </w:r>
          </w:p>
        </w:tc>
        <w:tc>
          <w:tcPr>
            <w:tcW w:w="859" w:type="dxa"/>
            <w:tcBorders>
              <w:bottom w:val="single" w:color="000000" w:sz="12" w:space="0"/>
              <w:tl2br w:val="nil"/>
              <w:tr2bl w:val="nil"/>
            </w:tcBorders>
            <w:vAlign w:val="center"/>
          </w:tcPr>
          <w:p>
            <w:pPr>
              <w:widowControl/>
              <w:jc w:val="center"/>
            </w:pPr>
            <w:r>
              <w:rPr>
                <w:rFonts w:hint="eastAsia"/>
                <w:lang w:val="en-US" w:eastAsia="zh-CN"/>
              </w:rPr>
              <w:t>D级</w:t>
            </w:r>
          </w:p>
        </w:tc>
        <w:tc>
          <w:tcPr>
            <w:tcW w:w="1963" w:type="dxa"/>
            <w:tcBorders>
              <w:bottom w:val="single" w:color="000000" w:sz="12" w:space="0"/>
              <w:tl2br w:val="nil"/>
              <w:tr2bl w:val="nil"/>
            </w:tcBorders>
            <w:vAlign w:val="center"/>
          </w:tcPr>
          <w:p>
            <w:pPr>
              <w:widowControl/>
              <w:jc w:val="center"/>
            </w:pPr>
            <w:r>
              <w:rPr>
                <w:rFonts w:ascii="Times New Roman" w:hAnsi="Times New Roman"/>
                <w:sz w:val="18"/>
                <w:szCs w:val="18"/>
              </w:rPr>
              <w:t>Recyclable Ag-Deposited TiO</w:t>
            </w:r>
            <w:r>
              <w:rPr>
                <w:rFonts w:ascii="Times New Roman" w:hAnsi="Times New Roman"/>
                <w:sz w:val="18"/>
                <w:szCs w:val="18"/>
                <w:vertAlign w:val="subscript"/>
              </w:rPr>
              <w:t>2</w:t>
            </w:r>
            <w:r>
              <w:rPr>
                <w:rFonts w:ascii="Times New Roman" w:hAnsi="Times New Roman"/>
                <w:sz w:val="18"/>
                <w:szCs w:val="18"/>
              </w:rPr>
              <w:t xml:space="preserve"> SERS Substrate for Ultrasensitive Malachite Green Detection</w:t>
            </w:r>
          </w:p>
        </w:tc>
        <w:tc>
          <w:tcPr>
            <w:tcW w:w="1682" w:type="dxa"/>
            <w:tcBorders>
              <w:bottom w:val="single" w:color="000000" w:sz="12" w:space="0"/>
              <w:tl2br w:val="nil"/>
              <w:tr2bl w:val="nil"/>
            </w:tcBorders>
            <w:vAlign w:val="center"/>
          </w:tcPr>
          <w:p>
            <w:pPr>
              <w:widowControl/>
              <w:jc w:val="center"/>
              <w:rPr>
                <w:rFonts w:hint="eastAsia" w:eastAsiaTheme="minorEastAsia"/>
                <w:lang w:eastAsia="zh-CN"/>
              </w:rPr>
            </w:pPr>
            <w:r>
              <w:rPr>
                <w:rFonts w:ascii="Times New Roman" w:hAnsi="Times New Roman"/>
                <w:sz w:val="18"/>
                <w:szCs w:val="18"/>
              </w:rPr>
              <w:t>ACS Omega</w:t>
            </w:r>
            <w:r>
              <w:rPr>
                <w:rFonts w:hint="eastAsia" w:ascii="Times New Roman" w:hAnsi="Times New Roman"/>
                <w:sz w:val="18"/>
                <w:szCs w:val="18"/>
                <w:lang w:eastAsia="zh-CN"/>
              </w:rPr>
              <w:t>，</w:t>
            </w:r>
            <w:r>
              <w:rPr>
                <w:rFonts w:ascii="Times New Roman" w:hAnsi="Times New Roman"/>
                <w:sz w:val="18"/>
                <w:szCs w:val="18"/>
              </w:rPr>
              <w:t>2021.11.27271-27278</w:t>
            </w:r>
          </w:p>
        </w:tc>
        <w:tc>
          <w:tcPr>
            <w:tcW w:w="796" w:type="dxa"/>
            <w:tcBorders>
              <w:bottom w:val="single" w:color="000000" w:sz="12" w:space="0"/>
              <w:tl2br w:val="nil"/>
              <w:tr2bl w:val="nil"/>
            </w:tcBorders>
            <w:vAlign w:val="center"/>
          </w:tcPr>
          <w:p>
            <w:pPr>
              <w:widowControl/>
              <w:jc w:val="center"/>
            </w:pPr>
            <w:r>
              <w:rPr>
                <w:rFonts w:hint="eastAsia"/>
                <w:lang w:val="en-US" w:eastAsia="zh-CN"/>
              </w:rPr>
              <w:t>第一作者</w:t>
            </w:r>
          </w:p>
        </w:tc>
        <w:tc>
          <w:tcPr>
            <w:tcW w:w="923" w:type="dxa"/>
            <w:tcBorders>
              <w:bottom w:val="single" w:color="000000" w:sz="12" w:space="0"/>
              <w:tl2br w:val="nil"/>
              <w:tr2bl w:val="nil"/>
            </w:tcBorders>
            <w:vAlign w:val="center"/>
          </w:tcPr>
          <w:p>
            <w:pPr>
              <w:widowControl/>
              <w:jc w:val="center"/>
            </w:pPr>
          </w:p>
        </w:tc>
        <w:tc>
          <w:tcPr>
            <w:tcW w:w="1210" w:type="dxa"/>
            <w:tcBorders>
              <w:bottom w:val="single" w:color="000000" w:sz="12" w:space="0"/>
              <w:tl2br w:val="nil"/>
              <w:tr2bl w:val="nil"/>
            </w:tcBorders>
            <w:vAlign w:val="center"/>
          </w:tcPr>
          <w:p>
            <w:pPr>
              <w:widowControl/>
              <w:jc w:val="center"/>
            </w:pPr>
            <w:r>
              <w:rPr>
                <w:rFonts w:hint="eastAsia"/>
                <w:lang w:val="en-US" w:eastAsia="zh-CN"/>
              </w:rPr>
              <w:t>有</w:t>
            </w:r>
          </w:p>
        </w:tc>
        <w:tc>
          <w:tcPr>
            <w:tcW w:w="831" w:type="dxa"/>
            <w:tcBorders>
              <w:bottom w:val="single" w:color="000000" w:sz="12" w:space="0"/>
              <w:tl2br w:val="nil"/>
              <w:tr2bl w:val="nil"/>
            </w:tcBorders>
            <w:vAlign w:val="center"/>
          </w:tcPr>
          <w:p>
            <w:pPr>
              <w:widowControl/>
              <w:jc w:val="center"/>
              <w:rPr>
                <w:rFonts w:hint="default" w:eastAsiaTheme="minorEastAsia"/>
                <w:lang w:val="en-US" w:eastAsia="zh-CN"/>
              </w:rPr>
            </w:pPr>
            <w:r>
              <w:rPr>
                <w:rFonts w:hint="eastAsia"/>
                <w:lang w:val="en-US" w:eastAsia="zh-CN"/>
              </w:rPr>
              <w:t>160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92" w:type="dxa"/>
            <w:vMerge w:val="restart"/>
            <w:tcBorders>
              <w:top w:val="single" w:color="000000" w:sz="12" w:space="0"/>
            </w:tcBorders>
            <w:vAlign w:val="center"/>
          </w:tcPr>
          <w:p>
            <w:pPr>
              <w:jc w:val="center"/>
            </w:pPr>
            <w:r>
              <w:rPr>
                <w:rFonts w:hint="eastAsia"/>
                <w:b/>
                <w:bCs/>
              </w:rPr>
              <w:t>不可计分</w:t>
            </w:r>
          </w:p>
        </w:tc>
        <w:tc>
          <w:tcPr>
            <w:tcW w:w="840" w:type="dxa"/>
            <w:tcBorders>
              <w:top w:val="single" w:color="000000" w:sz="12" w:space="0"/>
            </w:tcBorders>
            <w:vAlign w:val="center"/>
          </w:tcPr>
          <w:p>
            <w:pPr>
              <w:jc w:val="center"/>
              <w:rPr>
                <w:rFonts w:hint="eastAsia" w:eastAsiaTheme="minorEastAsia"/>
                <w:lang w:val="en-US" w:eastAsia="zh-CN"/>
              </w:rPr>
            </w:pPr>
            <w:r>
              <w:rPr>
                <w:rFonts w:hint="eastAsia"/>
                <w:lang w:val="en-US" w:eastAsia="zh-CN"/>
              </w:rPr>
              <w:t>1</w:t>
            </w:r>
          </w:p>
        </w:tc>
        <w:tc>
          <w:tcPr>
            <w:tcW w:w="859" w:type="dxa"/>
            <w:tcBorders>
              <w:top w:val="single" w:color="000000" w:sz="12" w:space="0"/>
            </w:tcBorders>
            <w:vAlign w:val="center"/>
          </w:tcPr>
          <w:p>
            <w:pPr>
              <w:widowControl/>
              <w:jc w:val="center"/>
              <w:rPr>
                <w:rFonts w:hint="default" w:eastAsiaTheme="minorEastAsia"/>
                <w:lang w:val="en-US" w:eastAsia="zh-CN"/>
              </w:rPr>
            </w:pPr>
            <w:r>
              <w:rPr>
                <w:rFonts w:hint="eastAsia"/>
                <w:lang w:val="en-US" w:eastAsia="zh-CN"/>
              </w:rPr>
              <w:t>G级</w:t>
            </w:r>
          </w:p>
        </w:tc>
        <w:tc>
          <w:tcPr>
            <w:tcW w:w="1963" w:type="dxa"/>
            <w:tcBorders>
              <w:top w:val="single" w:color="000000" w:sz="12" w:space="0"/>
            </w:tcBorders>
            <w:vAlign w:val="center"/>
          </w:tcPr>
          <w:p>
            <w:pPr>
              <w:widowControl/>
              <w:jc w:val="center"/>
            </w:pPr>
            <w:r>
              <w:rPr>
                <w:rFonts w:hint="eastAsia" w:ascii="仿宋_GB2312" w:eastAsia="仿宋_GB2312"/>
                <w:szCs w:val="21"/>
                <w:lang w:val="en-US" w:eastAsia="zh-CN"/>
              </w:rPr>
              <w:t>医学物理实验教学改革探究</w:t>
            </w:r>
          </w:p>
        </w:tc>
        <w:tc>
          <w:tcPr>
            <w:tcW w:w="1682" w:type="dxa"/>
            <w:tcBorders>
              <w:top w:val="single" w:color="000000" w:sz="12" w:space="0"/>
            </w:tcBorders>
            <w:vAlign w:val="center"/>
          </w:tcPr>
          <w:p>
            <w:pPr>
              <w:widowControl/>
              <w:jc w:val="both"/>
              <w:rPr>
                <w:rFonts w:hint="default"/>
                <w:lang w:val="en-US"/>
              </w:rPr>
            </w:pPr>
            <w:r>
              <w:rPr>
                <w:rFonts w:hint="eastAsia" w:ascii="仿宋_GB2312" w:eastAsia="仿宋_GB2312"/>
                <w:szCs w:val="21"/>
                <w:lang w:val="en-US" w:eastAsia="zh-CN"/>
              </w:rPr>
              <w:t>医学人文研究，2017.10</w:t>
            </w:r>
          </w:p>
        </w:tc>
        <w:tc>
          <w:tcPr>
            <w:tcW w:w="796" w:type="dxa"/>
            <w:tcBorders>
              <w:top w:val="single" w:color="000000" w:sz="12" w:space="0"/>
            </w:tcBorders>
            <w:vAlign w:val="center"/>
          </w:tcPr>
          <w:p>
            <w:pPr>
              <w:widowControl/>
              <w:jc w:val="center"/>
            </w:pPr>
            <w:r>
              <w:rPr>
                <w:rFonts w:hint="eastAsia"/>
                <w:lang w:val="en-US" w:eastAsia="zh-CN"/>
              </w:rPr>
              <w:t>第一作者</w:t>
            </w:r>
          </w:p>
        </w:tc>
        <w:tc>
          <w:tcPr>
            <w:tcW w:w="923" w:type="dxa"/>
            <w:tcBorders>
              <w:top w:val="single" w:color="000000" w:sz="12" w:space="0"/>
            </w:tcBorders>
            <w:vAlign w:val="center"/>
          </w:tcPr>
          <w:p>
            <w:pPr>
              <w:widowControl/>
              <w:jc w:val="center"/>
            </w:pPr>
          </w:p>
        </w:tc>
        <w:tc>
          <w:tcPr>
            <w:tcW w:w="1210" w:type="dxa"/>
            <w:tcBorders>
              <w:top w:val="single" w:color="000000" w:sz="12" w:space="0"/>
            </w:tcBorders>
            <w:vAlign w:val="center"/>
          </w:tcPr>
          <w:p>
            <w:pPr>
              <w:widowControl/>
              <w:jc w:val="center"/>
            </w:pPr>
          </w:p>
        </w:tc>
        <w:tc>
          <w:tcPr>
            <w:tcW w:w="831" w:type="dxa"/>
            <w:tcBorders>
              <w:top w:val="single" w:color="000000" w:sz="12" w:space="0"/>
            </w:tcBorders>
            <w:vAlign w:val="center"/>
          </w:tcPr>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504" w:hRule="atLeast"/>
        </w:trPr>
        <w:tc>
          <w:tcPr>
            <w:tcW w:w="692" w:type="dxa"/>
            <w:vMerge w:val="continue"/>
            <w:tcBorders>
              <w:tl2br w:val="nil"/>
              <w:tr2bl w:val="nil"/>
            </w:tcBorders>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2</w:t>
            </w:r>
          </w:p>
        </w:tc>
        <w:tc>
          <w:tcPr>
            <w:tcW w:w="859"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G级</w:t>
            </w:r>
          </w:p>
        </w:tc>
        <w:tc>
          <w:tcPr>
            <w:tcW w:w="1963" w:type="dxa"/>
            <w:tcBorders>
              <w:tl2br w:val="nil"/>
              <w:tr2bl w:val="nil"/>
            </w:tcBorders>
            <w:vAlign w:val="center"/>
          </w:tcPr>
          <w:p>
            <w:pPr>
              <w:widowControl/>
              <w:jc w:val="center"/>
            </w:pPr>
            <w:r>
              <w:rPr>
                <w:rFonts w:hint="eastAsia" w:ascii="仿宋_GB2312" w:eastAsia="仿宋_GB2312"/>
                <w:szCs w:val="21"/>
                <w:lang w:val="en-US" w:eastAsia="zh-CN"/>
              </w:rPr>
              <w:t>微信平台云板书在医学电子学教学中的应用</w:t>
            </w:r>
          </w:p>
        </w:tc>
        <w:tc>
          <w:tcPr>
            <w:tcW w:w="1682" w:type="dxa"/>
            <w:tcBorders>
              <w:tl2br w:val="nil"/>
              <w:tr2bl w:val="nil"/>
            </w:tcBorders>
            <w:vAlign w:val="center"/>
          </w:tcPr>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新教育时代，2018.5</w:t>
            </w:r>
          </w:p>
          <w:p>
            <w:pPr>
              <w:widowControl/>
              <w:jc w:val="center"/>
            </w:pPr>
          </w:p>
        </w:tc>
        <w:tc>
          <w:tcPr>
            <w:tcW w:w="796" w:type="dxa"/>
            <w:tcBorders>
              <w:tl2br w:val="nil"/>
              <w:tr2bl w:val="nil"/>
            </w:tcBorders>
            <w:vAlign w:val="center"/>
          </w:tcPr>
          <w:p>
            <w:pPr>
              <w:widowControl/>
              <w:jc w:val="center"/>
            </w:pPr>
            <w:r>
              <w:rPr>
                <w:rFonts w:hint="eastAsia"/>
                <w:lang w:val="en-US" w:eastAsia="zh-CN"/>
              </w:rPr>
              <w:t>第一作者</w:t>
            </w:r>
          </w:p>
        </w:tc>
        <w:tc>
          <w:tcPr>
            <w:tcW w:w="923" w:type="dxa"/>
            <w:tcBorders>
              <w:tl2br w:val="nil"/>
              <w:tr2bl w:val="nil"/>
            </w:tcBorders>
            <w:vAlign w:val="center"/>
          </w:tcPr>
          <w:p>
            <w:pPr>
              <w:widowControl/>
              <w:jc w:val="center"/>
            </w:pPr>
          </w:p>
        </w:tc>
        <w:tc>
          <w:tcPr>
            <w:tcW w:w="1210" w:type="dxa"/>
            <w:tcBorders>
              <w:tl2br w:val="nil"/>
              <w:tr2bl w:val="nil"/>
            </w:tcBorders>
            <w:vAlign w:val="center"/>
          </w:tcPr>
          <w:p>
            <w:pPr>
              <w:widowControl/>
              <w:jc w:val="center"/>
            </w:pPr>
          </w:p>
        </w:tc>
        <w:tc>
          <w:tcPr>
            <w:tcW w:w="831" w:type="dxa"/>
            <w:tcBorders>
              <w:tl2br w:val="nil"/>
              <w:tr2bl w:val="nil"/>
            </w:tcBorders>
            <w:vAlign w:val="center"/>
          </w:tcPr>
          <w:p>
            <w:pPr>
              <w:widowControl/>
              <w:snapToGrid w:val="0"/>
              <w:jc w:val="center"/>
            </w:pPr>
          </w:p>
          <w:p>
            <w:pPr>
              <w:widowControl/>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92" w:type="dxa"/>
            <w:vMerge w:val="continue"/>
            <w:tcBorders>
              <w:tl2br w:val="nil"/>
              <w:tr2bl w:val="nil"/>
            </w:tcBorders>
          </w:tcPr>
          <w:p>
            <w:pPr>
              <w:jc w:val="center"/>
            </w:pPr>
          </w:p>
        </w:tc>
        <w:tc>
          <w:tcPr>
            <w:tcW w:w="840" w:type="dxa"/>
            <w:tcBorders>
              <w:tl2br w:val="nil"/>
              <w:tr2bl w:val="nil"/>
            </w:tcBorders>
            <w:vAlign w:val="center"/>
          </w:tcPr>
          <w:p>
            <w:pPr>
              <w:jc w:val="center"/>
              <w:rPr>
                <w:rFonts w:hint="eastAsia" w:eastAsiaTheme="minorEastAsia"/>
                <w:lang w:val="en-US" w:eastAsia="zh-CN"/>
              </w:rPr>
            </w:pPr>
            <w:r>
              <w:rPr>
                <w:rFonts w:hint="eastAsia"/>
                <w:lang w:val="en-US" w:eastAsia="zh-CN"/>
              </w:rPr>
              <w:t>3</w:t>
            </w:r>
          </w:p>
        </w:tc>
        <w:tc>
          <w:tcPr>
            <w:tcW w:w="859"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G级</w:t>
            </w:r>
          </w:p>
        </w:tc>
        <w:tc>
          <w:tcPr>
            <w:tcW w:w="1963" w:type="dxa"/>
            <w:tcBorders>
              <w:tl2br w:val="nil"/>
              <w:tr2bl w:val="nil"/>
            </w:tcBorders>
            <w:vAlign w:val="center"/>
          </w:tcPr>
          <w:p>
            <w:pPr>
              <w:widowControl/>
              <w:jc w:val="center"/>
            </w:pPr>
            <w:r>
              <w:rPr>
                <w:rFonts w:hint="eastAsia" w:ascii="仿宋_GB2312" w:eastAsia="仿宋_GB2312"/>
                <w:szCs w:val="21"/>
                <w:lang w:val="en-US" w:eastAsia="zh-CN"/>
              </w:rPr>
              <w:t>3D 打印技术在临床医学中的应用</w:t>
            </w:r>
          </w:p>
        </w:tc>
        <w:tc>
          <w:tcPr>
            <w:tcW w:w="1682" w:type="dxa"/>
            <w:tcBorders>
              <w:tl2br w:val="nil"/>
              <w:tr2bl w:val="nil"/>
            </w:tcBorders>
            <w:vAlign w:val="center"/>
          </w:tcPr>
          <w:p>
            <w:pPr>
              <w:spacing w:line="240" w:lineRule="exact"/>
              <w:rPr>
                <w:rFonts w:hint="default" w:ascii="仿宋_GB2312" w:eastAsia="仿宋_GB2312"/>
                <w:szCs w:val="21"/>
                <w:lang w:val="en-US" w:eastAsia="zh-CN"/>
              </w:rPr>
            </w:pPr>
            <w:r>
              <w:rPr>
                <w:rFonts w:hint="eastAsia" w:ascii="仿宋_GB2312" w:eastAsia="仿宋_GB2312"/>
                <w:szCs w:val="21"/>
                <w:lang w:val="en-US" w:eastAsia="zh-CN"/>
              </w:rPr>
              <w:t>中国药学药品知识仓库，2022.3</w:t>
            </w:r>
          </w:p>
          <w:p>
            <w:pPr>
              <w:widowControl/>
              <w:jc w:val="center"/>
            </w:pPr>
          </w:p>
        </w:tc>
        <w:tc>
          <w:tcPr>
            <w:tcW w:w="796" w:type="dxa"/>
            <w:tcBorders>
              <w:tl2br w:val="nil"/>
              <w:tr2bl w:val="nil"/>
            </w:tcBorders>
            <w:vAlign w:val="center"/>
          </w:tcPr>
          <w:p>
            <w:pPr>
              <w:widowControl/>
              <w:jc w:val="center"/>
              <w:rPr>
                <w:rFonts w:hint="default" w:eastAsiaTheme="minorEastAsia"/>
                <w:lang w:val="en-US" w:eastAsia="zh-CN"/>
              </w:rPr>
            </w:pPr>
            <w:r>
              <w:rPr>
                <w:rFonts w:hint="eastAsia"/>
                <w:lang w:val="en-US" w:eastAsia="zh-CN"/>
              </w:rPr>
              <w:t>通讯作者</w:t>
            </w:r>
          </w:p>
        </w:tc>
        <w:tc>
          <w:tcPr>
            <w:tcW w:w="923" w:type="dxa"/>
            <w:tcBorders>
              <w:tl2br w:val="nil"/>
              <w:tr2bl w:val="nil"/>
            </w:tcBorders>
            <w:vAlign w:val="center"/>
          </w:tcPr>
          <w:p>
            <w:pPr>
              <w:widowControl/>
              <w:jc w:val="center"/>
            </w:pPr>
          </w:p>
        </w:tc>
        <w:tc>
          <w:tcPr>
            <w:tcW w:w="1210" w:type="dxa"/>
            <w:tcBorders>
              <w:tl2br w:val="nil"/>
              <w:tr2bl w:val="nil"/>
            </w:tcBorders>
            <w:vAlign w:val="center"/>
          </w:tcPr>
          <w:p>
            <w:pPr>
              <w:widowControl/>
              <w:jc w:val="center"/>
            </w:pPr>
          </w:p>
        </w:tc>
        <w:tc>
          <w:tcPr>
            <w:tcW w:w="831" w:type="dxa"/>
            <w:tcBorders>
              <w:tl2br w:val="nil"/>
              <w:tr2bl w:val="nil"/>
            </w:tcBorders>
            <w:vAlign w:val="center"/>
          </w:tcPr>
          <w:p>
            <w:pPr>
              <w:widowControl/>
              <w:snapToGrid w:val="0"/>
              <w:jc w:val="center"/>
            </w:pPr>
          </w:p>
          <w:p>
            <w:pPr>
              <w:widowControl/>
              <w:jc w:val="center"/>
            </w:pPr>
          </w:p>
        </w:tc>
      </w:tr>
    </w:tbl>
    <w:p>
      <w:pPr>
        <w:widowControl/>
        <w:ind w:firstLine="420" w:firstLineChars="200"/>
      </w:pPr>
      <w:r>
        <w:rPr>
          <w:rFonts w:hint="eastAsia"/>
        </w:rPr>
        <w:t>注：人文社科类参考评审文件附件1-4填写，自然科学类参考附件1-5填写，刊物级别：</w:t>
      </w:r>
      <w:r>
        <w:rPr>
          <w:rFonts w:hint="eastAsia"/>
          <w:b/>
          <w:bCs/>
        </w:rPr>
        <w:t>可计分类</w:t>
      </w:r>
      <w:r>
        <w:rPr>
          <w:rFonts w:hint="eastAsia"/>
        </w:rPr>
        <w:t>按A到F级填写，不可计分类为G级。</w:t>
      </w:r>
    </w:p>
    <w:tbl>
      <w:tblPr>
        <w:tblStyle w:val="6"/>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b/>
                <w:bCs/>
              </w:rPr>
            </w:pPr>
            <w:r>
              <w:rPr>
                <w:rFonts w:hint="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eastAsia="宋体"/>
              </w:rPr>
            </w:pPr>
            <w:r>
              <w:rPr>
                <w:rFonts w:hint="eastAsia" w:eastAsia="宋体"/>
                <w:b/>
                <w:bCs/>
              </w:rPr>
              <w:t>类别</w:t>
            </w:r>
          </w:p>
        </w:tc>
        <w:tc>
          <w:tcPr>
            <w:tcW w:w="887" w:type="dxa"/>
            <w:tcBorders>
              <w:tl2br w:val="nil"/>
              <w:tr2bl w:val="nil"/>
            </w:tcBorders>
            <w:vAlign w:val="center"/>
          </w:tcPr>
          <w:p>
            <w:pPr>
              <w:overflowPunct w:val="0"/>
              <w:jc w:val="center"/>
              <w:rPr>
                <w:rFonts w:eastAsia="宋体"/>
                <w:b/>
                <w:bCs/>
              </w:rPr>
            </w:pPr>
            <w:r>
              <w:rPr>
                <w:rFonts w:hint="eastAsia"/>
                <w:b/>
                <w:bCs/>
              </w:rPr>
              <w:t>序号</w:t>
            </w:r>
          </w:p>
        </w:tc>
        <w:tc>
          <w:tcPr>
            <w:tcW w:w="1281" w:type="dxa"/>
            <w:tcBorders>
              <w:tl2br w:val="nil"/>
              <w:tr2bl w:val="nil"/>
            </w:tcBorders>
            <w:vAlign w:val="center"/>
          </w:tcPr>
          <w:p>
            <w:pPr>
              <w:overflowPunct w:val="0"/>
              <w:jc w:val="center"/>
              <w:rPr>
                <w:b/>
                <w:bCs/>
              </w:rPr>
            </w:pPr>
            <w:r>
              <w:rPr>
                <w:rFonts w:hint="eastAsia"/>
                <w:b/>
                <w:bCs/>
              </w:rPr>
              <w:t>奖励等级</w:t>
            </w:r>
          </w:p>
        </w:tc>
        <w:tc>
          <w:tcPr>
            <w:tcW w:w="1814" w:type="dxa"/>
            <w:tcBorders>
              <w:tl2br w:val="nil"/>
              <w:tr2bl w:val="nil"/>
            </w:tcBorders>
            <w:vAlign w:val="center"/>
          </w:tcPr>
          <w:p>
            <w:pPr>
              <w:overflowPunct w:val="0"/>
              <w:jc w:val="center"/>
              <w:rPr>
                <w:b/>
                <w:bCs/>
              </w:rPr>
            </w:pPr>
            <w:r>
              <w:rPr>
                <w:rFonts w:hint="eastAsia"/>
                <w:b/>
                <w:bCs/>
              </w:rPr>
              <w:t>获奖成果名称</w:t>
            </w:r>
          </w:p>
        </w:tc>
        <w:tc>
          <w:tcPr>
            <w:tcW w:w="1200" w:type="dxa"/>
            <w:tcBorders>
              <w:tl2br w:val="nil"/>
              <w:tr2bl w:val="nil"/>
            </w:tcBorders>
            <w:vAlign w:val="center"/>
          </w:tcPr>
          <w:p>
            <w:pPr>
              <w:overflowPunct w:val="0"/>
              <w:jc w:val="center"/>
              <w:rPr>
                <w:b/>
                <w:bCs/>
              </w:rPr>
            </w:pPr>
            <w:r>
              <w:rPr>
                <w:rFonts w:hint="eastAsia"/>
                <w:b/>
                <w:bCs/>
              </w:rPr>
              <w:t>获奖</w:t>
            </w:r>
          </w:p>
          <w:p>
            <w:pPr>
              <w:overflowPunct w:val="0"/>
              <w:jc w:val="center"/>
              <w:rPr>
                <w:rFonts w:eastAsia="宋体"/>
                <w:b/>
                <w:bCs/>
              </w:rPr>
            </w:pPr>
            <w:r>
              <w:rPr>
                <w:rFonts w:hint="eastAsia"/>
                <w:b/>
                <w:bCs/>
              </w:rPr>
              <w:t>等级</w:t>
            </w:r>
          </w:p>
        </w:tc>
        <w:tc>
          <w:tcPr>
            <w:tcW w:w="736" w:type="dxa"/>
            <w:tcBorders>
              <w:tl2br w:val="nil"/>
              <w:tr2bl w:val="nil"/>
            </w:tcBorders>
            <w:vAlign w:val="center"/>
          </w:tcPr>
          <w:p>
            <w:pPr>
              <w:overflowPunct w:val="0"/>
              <w:jc w:val="center"/>
              <w:rPr>
                <w:rFonts w:eastAsia="宋体"/>
                <w:b/>
                <w:bCs/>
              </w:rPr>
            </w:pPr>
            <w:r>
              <w:rPr>
                <w:rFonts w:hint="eastAsia"/>
                <w:b/>
                <w:bCs/>
              </w:rPr>
              <w:t>奖励名称</w:t>
            </w:r>
          </w:p>
        </w:tc>
        <w:tc>
          <w:tcPr>
            <w:tcW w:w="1105" w:type="dxa"/>
            <w:tcBorders>
              <w:tl2br w:val="nil"/>
              <w:tr2bl w:val="nil"/>
            </w:tcBorders>
            <w:vAlign w:val="center"/>
          </w:tcPr>
          <w:p>
            <w:pPr>
              <w:overflowPunct w:val="0"/>
              <w:jc w:val="center"/>
              <w:rPr>
                <w:b/>
                <w:bCs/>
              </w:rPr>
            </w:pPr>
            <w:r>
              <w:rPr>
                <w:rFonts w:hint="eastAsia"/>
                <w:b/>
                <w:bCs/>
              </w:rPr>
              <w:t>获奖</w:t>
            </w:r>
          </w:p>
          <w:p>
            <w:pPr>
              <w:overflowPunct w:val="0"/>
              <w:jc w:val="center"/>
              <w:rPr>
                <w:b/>
                <w:bCs/>
              </w:rPr>
            </w:pPr>
            <w:r>
              <w:rPr>
                <w:rFonts w:hint="eastAsia"/>
                <w:b/>
                <w:bCs/>
              </w:rPr>
              <w:t>年月</w:t>
            </w:r>
          </w:p>
        </w:tc>
        <w:tc>
          <w:tcPr>
            <w:tcW w:w="1104" w:type="dxa"/>
            <w:tcBorders>
              <w:tl2br w:val="nil"/>
              <w:tr2bl w:val="nil"/>
            </w:tcBorders>
            <w:vAlign w:val="center"/>
          </w:tcPr>
          <w:p>
            <w:pPr>
              <w:overflowPunct w:val="0"/>
              <w:jc w:val="center"/>
              <w:rPr>
                <w:b/>
                <w:bCs/>
              </w:rPr>
            </w:pPr>
            <w:r>
              <w:rPr>
                <w:rFonts w:hint="eastAsia"/>
                <w:b/>
                <w:bCs/>
              </w:rPr>
              <w:t>第几</w:t>
            </w:r>
          </w:p>
          <w:p>
            <w:pPr>
              <w:overflowPunct w:val="0"/>
              <w:jc w:val="center"/>
              <w:rPr>
                <w:rFonts w:eastAsia="宋体"/>
                <w:b/>
                <w:bCs/>
              </w:rPr>
            </w:pPr>
            <w:r>
              <w:rPr>
                <w:rFonts w:hint="eastAsia"/>
                <w:b/>
                <w:bCs/>
              </w:rPr>
              <w:t>完成人</w:t>
            </w:r>
          </w:p>
        </w:tc>
        <w:tc>
          <w:tcPr>
            <w:tcW w:w="750" w:type="dxa"/>
            <w:tcBorders>
              <w:tl2br w:val="nil"/>
              <w:tr2bl w:val="nil"/>
            </w:tcBorders>
            <w:vAlign w:val="center"/>
          </w:tcPr>
          <w:p>
            <w:pPr>
              <w:overflowPunct w:val="0"/>
              <w:jc w:val="center"/>
              <w:rPr>
                <w:rFonts w:eastAsia="宋体"/>
                <w:b/>
                <w:bCs/>
              </w:rPr>
            </w:pPr>
            <w:r>
              <w:rPr>
                <w:rFonts w:hint="eastAsia"/>
                <w:b/>
                <w:bCs/>
              </w:rPr>
              <w:t>备注</w:t>
            </w:r>
          </w:p>
        </w:tc>
        <w:tc>
          <w:tcPr>
            <w:tcW w:w="648" w:type="dxa"/>
            <w:tcBorders>
              <w:tl2br w:val="nil"/>
              <w:tr2bl w:val="nil"/>
            </w:tcBorders>
            <w:vAlign w:val="center"/>
          </w:tcPr>
          <w:p>
            <w:pPr>
              <w:overflowPunct w:val="0"/>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pPr>
            <w:r>
              <w:rPr>
                <w:rFonts w:hint="eastAsia"/>
                <w:b/>
                <w:bCs/>
              </w:rPr>
              <w:t>可计分</w:t>
            </w:r>
          </w:p>
        </w:tc>
        <w:tc>
          <w:tcPr>
            <w:tcW w:w="887" w:type="dxa"/>
            <w:tcBorders>
              <w:tl2br w:val="nil"/>
              <w:tr2bl w:val="nil"/>
            </w:tcBorders>
            <w:vAlign w:val="center"/>
          </w:tcPr>
          <w:p>
            <w:pPr>
              <w:overflowPunct w:val="0"/>
              <w:jc w:val="center"/>
            </w:pPr>
          </w:p>
        </w:tc>
        <w:tc>
          <w:tcPr>
            <w:tcW w:w="1281" w:type="dxa"/>
            <w:tcBorders>
              <w:tl2br w:val="nil"/>
              <w:tr2bl w:val="nil"/>
            </w:tcBorders>
            <w:vAlign w:val="center"/>
          </w:tcPr>
          <w:p>
            <w:pPr>
              <w:overflowPunct w:val="0"/>
              <w:jc w:val="center"/>
            </w:pPr>
          </w:p>
        </w:tc>
        <w:tc>
          <w:tcPr>
            <w:tcW w:w="1814" w:type="dxa"/>
            <w:tcBorders>
              <w:tl2br w:val="nil"/>
              <w:tr2bl w:val="nil"/>
            </w:tcBorders>
            <w:vAlign w:val="center"/>
          </w:tcPr>
          <w:p>
            <w:pPr>
              <w:overflowPunct w:val="0"/>
              <w:jc w:val="center"/>
            </w:pPr>
          </w:p>
        </w:tc>
        <w:tc>
          <w:tcPr>
            <w:tcW w:w="1200" w:type="dxa"/>
            <w:tcBorders>
              <w:tl2br w:val="nil"/>
              <w:tr2bl w:val="nil"/>
            </w:tcBorders>
            <w:vAlign w:val="center"/>
          </w:tcPr>
          <w:p>
            <w:pPr>
              <w:overflowPunct w:val="0"/>
              <w:jc w:val="center"/>
            </w:pPr>
          </w:p>
        </w:tc>
        <w:tc>
          <w:tcPr>
            <w:tcW w:w="736" w:type="dxa"/>
            <w:tcBorders>
              <w:tl2br w:val="nil"/>
              <w:tr2bl w:val="nil"/>
            </w:tcBorders>
            <w:vAlign w:val="center"/>
          </w:tcPr>
          <w:p>
            <w:pPr>
              <w:overflowPunct w:val="0"/>
              <w:jc w:val="center"/>
            </w:pPr>
          </w:p>
        </w:tc>
        <w:tc>
          <w:tcPr>
            <w:tcW w:w="1105" w:type="dxa"/>
            <w:tcBorders>
              <w:tl2br w:val="nil"/>
              <w:tr2bl w:val="nil"/>
            </w:tcBorders>
            <w:vAlign w:val="center"/>
          </w:tcPr>
          <w:p>
            <w:pPr>
              <w:overflowPunct w:val="0"/>
              <w:jc w:val="center"/>
            </w:pPr>
          </w:p>
        </w:tc>
        <w:tc>
          <w:tcPr>
            <w:tcW w:w="1104" w:type="dxa"/>
            <w:tcBorders>
              <w:tl2br w:val="nil"/>
              <w:tr2bl w:val="nil"/>
            </w:tcBorders>
            <w:vAlign w:val="center"/>
          </w:tcPr>
          <w:p>
            <w:pPr>
              <w:overflowPunct w:val="0"/>
              <w:jc w:val="center"/>
            </w:pPr>
          </w:p>
        </w:tc>
        <w:tc>
          <w:tcPr>
            <w:tcW w:w="750" w:type="dxa"/>
            <w:tcBorders>
              <w:tl2br w:val="nil"/>
              <w:tr2bl w:val="nil"/>
            </w:tcBorders>
            <w:vAlign w:val="center"/>
          </w:tcPr>
          <w:p>
            <w:pPr>
              <w:overflowPunct w:val="0"/>
              <w:jc w:val="center"/>
            </w:pPr>
          </w:p>
        </w:tc>
        <w:tc>
          <w:tcPr>
            <w:tcW w:w="648" w:type="dxa"/>
            <w:tcBorders>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pPr>
          </w:p>
        </w:tc>
        <w:tc>
          <w:tcPr>
            <w:tcW w:w="887" w:type="dxa"/>
            <w:tcBorders>
              <w:bottom w:val="single" w:color="000000" w:sz="12" w:space="0"/>
              <w:tl2br w:val="nil"/>
              <w:tr2bl w:val="nil"/>
            </w:tcBorders>
            <w:vAlign w:val="center"/>
          </w:tcPr>
          <w:p>
            <w:pPr>
              <w:overflowPunct w:val="0"/>
              <w:jc w:val="center"/>
            </w:pPr>
          </w:p>
        </w:tc>
        <w:tc>
          <w:tcPr>
            <w:tcW w:w="1281" w:type="dxa"/>
            <w:tcBorders>
              <w:bottom w:val="single" w:color="000000" w:sz="12" w:space="0"/>
              <w:tl2br w:val="nil"/>
              <w:tr2bl w:val="nil"/>
            </w:tcBorders>
            <w:shd w:val="clear" w:color="auto" w:fill="auto"/>
            <w:vAlign w:val="top"/>
          </w:tcPr>
          <w:p>
            <w:pPr>
              <w:overflowPunct w:val="0"/>
              <w:jc w:val="center"/>
              <w:rPr>
                <w:rFonts w:hint="default" w:asciiTheme="minorHAnsi" w:hAnsiTheme="minorHAnsi" w:eastAsiaTheme="minorEastAsia" w:cstheme="minorBidi"/>
                <w:color w:val="FF0000"/>
                <w:kern w:val="2"/>
                <w:sz w:val="21"/>
                <w:szCs w:val="22"/>
                <w:lang w:val="en-US" w:eastAsia="zh-CN" w:bidi="ar-SA"/>
              </w:rPr>
            </w:pPr>
          </w:p>
        </w:tc>
        <w:tc>
          <w:tcPr>
            <w:tcW w:w="1814" w:type="dxa"/>
            <w:tcBorders>
              <w:bottom w:val="single" w:color="000000" w:sz="12" w:space="0"/>
              <w:tl2br w:val="nil"/>
              <w:tr2bl w:val="nil"/>
            </w:tcBorders>
            <w:shd w:val="clear" w:color="auto" w:fill="auto"/>
            <w:vAlign w:val="top"/>
          </w:tcPr>
          <w:p>
            <w:pPr>
              <w:overflowPunct w:val="0"/>
              <w:jc w:val="center"/>
              <w:rPr>
                <w:rFonts w:hint="default" w:asciiTheme="minorHAnsi" w:hAnsiTheme="minorHAnsi" w:eastAsiaTheme="minorEastAsia" w:cstheme="minorBidi"/>
                <w:color w:val="FF0000"/>
                <w:kern w:val="2"/>
                <w:sz w:val="21"/>
                <w:szCs w:val="22"/>
                <w:lang w:val="en-US" w:eastAsia="zh-CN" w:bidi="ar-SA"/>
              </w:rPr>
            </w:pPr>
          </w:p>
        </w:tc>
        <w:tc>
          <w:tcPr>
            <w:tcW w:w="1200" w:type="dxa"/>
            <w:tcBorders>
              <w:bottom w:val="single" w:color="000000" w:sz="12" w:space="0"/>
              <w:tl2br w:val="nil"/>
              <w:tr2bl w:val="nil"/>
            </w:tcBorders>
            <w:shd w:val="clear" w:color="auto" w:fill="auto"/>
            <w:vAlign w:val="top"/>
          </w:tcPr>
          <w:p>
            <w:pPr>
              <w:overflowPunct w:val="0"/>
              <w:jc w:val="center"/>
              <w:rPr>
                <w:rFonts w:asciiTheme="minorHAnsi" w:hAnsiTheme="minorHAnsi" w:eastAsiaTheme="minorEastAsia" w:cstheme="minorBidi"/>
                <w:color w:val="FF0000"/>
                <w:kern w:val="2"/>
                <w:sz w:val="21"/>
                <w:szCs w:val="22"/>
                <w:lang w:val="en-US" w:eastAsia="zh-CN" w:bidi="ar-SA"/>
              </w:rPr>
            </w:pPr>
          </w:p>
        </w:tc>
        <w:tc>
          <w:tcPr>
            <w:tcW w:w="736" w:type="dxa"/>
            <w:tcBorders>
              <w:bottom w:val="single" w:color="000000" w:sz="12" w:space="0"/>
              <w:tl2br w:val="nil"/>
              <w:tr2bl w:val="nil"/>
            </w:tcBorders>
            <w:shd w:val="clear" w:color="auto" w:fill="auto"/>
            <w:vAlign w:val="top"/>
          </w:tcPr>
          <w:p>
            <w:pPr>
              <w:overflowPunct w:val="0"/>
              <w:jc w:val="center"/>
              <w:rPr>
                <w:rFonts w:asciiTheme="minorHAnsi" w:hAnsiTheme="minorHAnsi" w:eastAsiaTheme="minorEastAsia" w:cstheme="minorBidi"/>
                <w:color w:val="FF0000"/>
                <w:kern w:val="2"/>
                <w:sz w:val="21"/>
                <w:szCs w:val="22"/>
                <w:lang w:val="en-US" w:eastAsia="zh-CN" w:bidi="ar-SA"/>
              </w:rPr>
            </w:pPr>
          </w:p>
        </w:tc>
        <w:tc>
          <w:tcPr>
            <w:tcW w:w="1105" w:type="dxa"/>
            <w:tcBorders>
              <w:bottom w:val="single" w:color="000000" w:sz="12" w:space="0"/>
              <w:tl2br w:val="nil"/>
              <w:tr2bl w:val="nil"/>
            </w:tcBorders>
            <w:shd w:val="clear" w:color="auto" w:fill="auto"/>
            <w:vAlign w:val="top"/>
          </w:tcPr>
          <w:p>
            <w:pPr>
              <w:overflowPunct w:val="0"/>
              <w:jc w:val="both"/>
              <w:rPr>
                <w:rFonts w:hint="default" w:asciiTheme="minorHAnsi" w:hAnsiTheme="minorHAnsi" w:eastAsiaTheme="minorEastAsia" w:cstheme="minorBidi"/>
                <w:color w:val="FF0000"/>
                <w:kern w:val="2"/>
                <w:sz w:val="21"/>
                <w:szCs w:val="22"/>
                <w:lang w:val="en-US" w:eastAsia="zh-CN" w:bidi="ar-SA"/>
              </w:rPr>
            </w:pPr>
          </w:p>
        </w:tc>
        <w:tc>
          <w:tcPr>
            <w:tcW w:w="1104" w:type="dxa"/>
            <w:tcBorders>
              <w:bottom w:val="single" w:color="000000" w:sz="12" w:space="0"/>
              <w:tl2br w:val="nil"/>
              <w:tr2bl w:val="nil"/>
            </w:tcBorders>
            <w:shd w:val="clear" w:color="auto" w:fill="auto"/>
            <w:vAlign w:val="top"/>
          </w:tcPr>
          <w:p>
            <w:pPr>
              <w:overflowPunct w:val="0"/>
              <w:jc w:val="center"/>
              <w:rPr>
                <w:rFonts w:hint="eastAsia" w:asciiTheme="minorHAnsi" w:hAnsiTheme="minorHAnsi" w:eastAsiaTheme="minorEastAsia" w:cstheme="minorBidi"/>
                <w:color w:val="FF0000"/>
                <w:kern w:val="2"/>
                <w:sz w:val="21"/>
                <w:szCs w:val="22"/>
                <w:lang w:val="en-US" w:eastAsia="zh-CN" w:bidi="ar-SA"/>
              </w:rPr>
            </w:pPr>
          </w:p>
        </w:tc>
        <w:tc>
          <w:tcPr>
            <w:tcW w:w="750" w:type="dxa"/>
            <w:tcBorders>
              <w:bottom w:val="single" w:color="000000" w:sz="12" w:space="0"/>
              <w:tl2br w:val="nil"/>
              <w:tr2bl w:val="nil"/>
            </w:tcBorders>
            <w:shd w:val="clear" w:color="auto" w:fill="auto"/>
            <w:vAlign w:val="top"/>
          </w:tcPr>
          <w:p>
            <w:pPr>
              <w:overflowPunct w:val="0"/>
              <w:jc w:val="center"/>
              <w:rPr>
                <w:rFonts w:asciiTheme="minorHAnsi" w:hAnsiTheme="minorHAnsi" w:eastAsiaTheme="minorEastAsia" w:cstheme="minorBidi"/>
                <w:color w:val="FF0000"/>
                <w:kern w:val="2"/>
                <w:sz w:val="21"/>
                <w:szCs w:val="22"/>
                <w:lang w:val="en-US" w:eastAsia="zh-CN" w:bidi="ar-SA"/>
              </w:rPr>
            </w:pPr>
          </w:p>
        </w:tc>
        <w:tc>
          <w:tcPr>
            <w:tcW w:w="648" w:type="dxa"/>
            <w:tcBorders>
              <w:bottom w:val="single" w:color="000000" w:sz="12" w:space="0"/>
              <w:tl2br w:val="nil"/>
              <w:tr2bl w:val="nil"/>
            </w:tcBorders>
            <w:vAlign w:val="center"/>
          </w:tcPr>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pPr>
            <w:r>
              <w:rPr>
                <w:rFonts w:hint="eastAsia"/>
                <w:b/>
                <w:bCs/>
              </w:rPr>
              <w:t>不可计分</w:t>
            </w:r>
          </w:p>
        </w:tc>
        <w:tc>
          <w:tcPr>
            <w:tcW w:w="887" w:type="dxa"/>
            <w:tcBorders>
              <w:top w:val="single" w:color="000000" w:sz="12" w:space="0"/>
            </w:tcBorders>
            <w:vAlign w:val="center"/>
          </w:tcPr>
          <w:p>
            <w:pPr>
              <w:overflowPunct w:val="0"/>
              <w:jc w:val="center"/>
              <w:rPr>
                <w:rFonts w:hint="eastAsia" w:eastAsiaTheme="minorEastAsia"/>
                <w:lang w:val="en-US" w:eastAsia="zh-CN"/>
              </w:rPr>
            </w:pPr>
            <w:r>
              <w:rPr>
                <w:rFonts w:hint="eastAsia"/>
                <w:lang w:val="en-US" w:eastAsia="zh-CN"/>
              </w:rPr>
              <w:t>1</w:t>
            </w:r>
          </w:p>
        </w:tc>
        <w:tc>
          <w:tcPr>
            <w:tcW w:w="1281" w:type="dxa"/>
            <w:tcBorders>
              <w:top w:val="single" w:color="000000" w:sz="12" w:space="0"/>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B级</w:t>
            </w:r>
          </w:p>
        </w:tc>
        <w:tc>
          <w:tcPr>
            <w:tcW w:w="1814" w:type="dxa"/>
            <w:tcBorders>
              <w:top w:val="single" w:color="000000" w:sz="12" w:space="0"/>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博士研究生国家奖学金</w:t>
            </w:r>
          </w:p>
        </w:tc>
        <w:tc>
          <w:tcPr>
            <w:tcW w:w="1200" w:type="dxa"/>
            <w:tcBorders>
              <w:top w:val="single" w:color="000000" w:sz="12" w:space="0"/>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p>
        </w:tc>
        <w:tc>
          <w:tcPr>
            <w:tcW w:w="736" w:type="dxa"/>
            <w:tcBorders>
              <w:top w:val="single" w:color="000000" w:sz="12" w:space="0"/>
            </w:tcBorders>
            <w:shd w:val="clear" w:color="auto" w:fill="auto"/>
            <w:vAlign w:val="center"/>
          </w:tcPr>
          <w:p>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1105" w:type="dxa"/>
            <w:tcBorders>
              <w:top w:val="single" w:color="000000" w:sz="12" w:space="0"/>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2022</w:t>
            </w:r>
          </w:p>
        </w:tc>
        <w:tc>
          <w:tcPr>
            <w:tcW w:w="1104" w:type="dxa"/>
            <w:tcBorders>
              <w:top w:val="single" w:color="000000" w:sz="12" w:space="0"/>
            </w:tcBorders>
            <w:shd w:val="clear" w:color="auto" w:fill="auto"/>
            <w:vAlign w:val="center"/>
          </w:tcPr>
          <w:p>
            <w:pPr>
              <w:overflowPunct w:val="0"/>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第一</w:t>
            </w:r>
          </w:p>
        </w:tc>
        <w:tc>
          <w:tcPr>
            <w:tcW w:w="750" w:type="dxa"/>
            <w:tcBorders>
              <w:top w:val="single" w:color="000000" w:sz="12" w:space="0"/>
            </w:tcBorders>
            <w:vAlign w:val="center"/>
          </w:tcPr>
          <w:p>
            <w:pPr>
              <w:overflowPunct w:val="0"/>
              <w:jc w:val="center"/>
              <w:rPr>
                <w:color w:val="000000" w:themeColor="text1"/>
              </w:rPr>
            </w:pPr>
          </w:p>
        </w:tc>
        <w:tc>
          <w:tcPr>
            <w:tcW w:w="648" w:type="dxa"/>
            <w:tcBorders>
              <w:top w:val="single" w:color="000000" w:sz="12" w:space="0"/>
            </w:tcBorders>
            <w:vAlign w:val="center"/>
          </w:tcPr>
          <w:p>
            <w:pPr>
              <w:overflowPunct w:val="0"/>
              <w:snapToGrid w:val="0"/>
              <w:jc w:val="center"/>
            </w:pPr>
          </w:p>
          <w:p>
            <w:pPr>
              <w:overflowPunct w:val="0"/>
              <w:jc w:val="cente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b/>
                <w:bCs/>
              </w:rPr>
            </w:pPr>
          </w:p>
        </w:tc>
        <w:tc>
          <w:tcPr>
            <w:tcW w:w="887" w:type="dxa"/>
            <w:tcBorders>
              <w:tl2br w:val="nil"/>
              <w:tr2bl w:val="nil"/>
            </w:tcBorders>
            <w:vAlign w:val="center"/>
          </w:tcPr>
          <w:p>
            <w:pPr>
              <w:overflowPunct w:val="0"/>
              <w:jc w:val="center"/>
              <w:rPr>
                <w:rFonts w:hint="eastAsia" w:eastAsiaTheme="minorEastAsia"/>
                <w:lang w:val="en-US" w:eastAsia="zh-CN"/>
              </w:rPr>
            </w:pPr>
            <w:r>
              <w:rPr>
                <w:rFonts w:hint="eastAsia"/>
                <w:lang w:val="en-US" w:eastAsia="zh-CN"/>
              </w:rPr>
              <w:t>2</w:t>
            </w:r>
          </w:p>
        </w:tc>
        <w:tc>
          <w:tcPr>
            <w:tcW w:w="1281" w:type="dxa"/>
            <w:tcBorders>
              <w:tl2br w:val="nil"/>
              <w:tr2bl w:val="nil"/>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stheme="minorBidi"/>
                <w:color w:val="000000" w:themeColor="text1"/>
                <w:kern w:val="2"/>
                <w:sz w:val="21"/>
                <w:szCs w:val="22"/>
                <w:lang w:val="en-US" w:eastAsia="zh-CN" w:bidi="ar-SA"/>
              </w:rPr>
              <w:t>D级</w:t>
            </w:r>
          </w:p>
        </w:tc>
        <w:tc>
          <w:tcPr>
            <w:tcW w:w="1814" w:type="dxa"/>
            <w:tcBorders>
              <w:tl2br w:val="nil"/>
              <w:tr2bl w:val="nil"/>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ascii="宋体" w:hAnsi="宋体"/>
                <w:color w:val="000000" w:themeColor="text1"/>
                <w:sz w:val="20"/>
                <w:szCs w:val="20"/>
                <w:lang w:val="en-US" w:eastAsia="zh-CN"/>
              </w:rPr>
              <w:t>博士</w:t>
            </w:r>
            <w:r>
              <w:rPr>
                <w:rFonts w:ascii="宋体" w:hAnsi="宋体"/>
                <w:color w:val="000000" w:themeColor="text1"/>
                <w:sz w:val="20"/>
                <w:szCs w:val="20"/>
              </w:rPr>
              <w:t>优秀科技成果</w:t>
            </w:r>
          </w:p>
        </w:tc>
        <w:tc>
          <w:tcPr>
            <w:tcW w:w="1200" w:type="dxa"/>
            <w:tcBorders>
              <w:tl2br w:val="nil"/>
              <w:tr2bl w:val="nil"/>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三等奖</w:t>
            </w:r>
          </w:p>
        </w:tc>
        <w:tc>
          <w:tcPr>
            <w:tcW w:w="736" w:type="dxa"/>
            <w:tcBorders>
              <w:tl2br w:val="nil"/>
              <w:tr2bl w:val="nil"/>
            </w:tcBorders>
            <w:shd w:val="clear" w:color="auto" w:fill="auto"/>
            <w:vAlign w:val="center"/>
          </w:tcPr>
          <w:p>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1105" w:type="dxa"/>
            <w:tcBorders>
              <w:tl2br w:val="nil"/>
              <w:tr2bl w:val="nil"/>
            </w:tcBorders>
            <w:shd w:val="clear" w:color="auto" w:fill="auto"/>
            <w:vAlign w:val="center"/>
          </w:tcPr>
          <w:p>
            <w:pPr>
              <w:overflowPunct w:val="0"/>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2022</w:t>
            </w:r>
          </w:p>
        </w:tc>
        <w:tc>
          <w:tcPr>
            <w:tcW w:w="1104" w:type="dxa"/>
            <w:tcBorders>
              <w:tl2br w:val="nil"/>
              <w:tr2bl w:val="nil"/>
            </w:tcBorders>
            <w:shd w:val="clear" w:color="auto" w:fill="auto"/>
            <w:vAlign w:val="center"/>
          </w:tcPr>
          <w:p>
            <w:pPr>
              <w:overflowPunct w:val="0"/>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第一</w:t>
            </w:r>
          </w:p>
        </w:tc>
        <w:tc>
          <w:tcPr>
            <w:tcW w:w="750" w:type="dxa"/>
            <w:tcBorders>
              <w:tl2br w:val="nil"/>
              <w:tr2bl w:val="nil"/>
            </w:tcBorders>
            <w:shd w:val="clear" w:color="auto" w:fill="auto"/>
            <w:vAlign w:val="center"/>
          </w:tcPr>
          <w:p>
            <w:pPr>
              <w:overflowPunct w:val="0"/>
              <w:jc w:val="center"/>
              <w:rPr>
                <w:rFonts w:asciiTheme="minorHAnsi" w:hAnsiTheme="minorHAnsi" w:eastAsiaTheme="minorEastAsia" w:cstheme="minorBidi"/>
                <w:color w:val="000000" w:themeColor="text1"/>
                <w:kern w:val="2"/>
                <w:sz w:val="21"/>
                <w:szCs w:val="22"/>
                <w:lang w:val="en-US" w:eastAsia="zh-CN" w:bidi="ar-SA"/>
              </w:rPr>
            </w:pPr>
          </w:p>
        </w:tc>
        <w:tc>
          <w:tcPr>
            <w:tcW w:w="648" w:type="dxa"/>
            <w:tcBorders>
              <w:tl2br w:val="nil"/>
              <w:tr2bl w:val="nil"/>
            </w:tcBorders>
            <w:vAlign w:val="center"/>
          </w:tcPr>
          <w:p>
            <w:pPr>
              <w:overflowPunct w:val="0"/>
              <w:snapToGrid w:val="0"/>
              <w:jc w:val="center"/>
            </w:pPr>
          </w:p>
          <w:p>
            <w:pPr>
              <w:overflowPunct w:val="0"/>
              <w:jc w:val="center"/>
            </w:pPr>
          </w:p>
        </w:tc>
      </w:tr>
    </w:tbl>
    <w:p>
      <w:pPr>
        <w:overflowPunct w:val="0"/>
        <w:ind w:firstLine="420" w:firstLineChars="200"/>
      </w:pPr>
      <w:r>
        <w:rPr>
          <w:rFonts w:hint="eastAsia"/>
        </w:rPr>
        <w:t>注：人文社科类参考评审文件附件1-4填写，自然科学类参考附件1-5填写，奖励等级：可计分类按A级-C级填写，不可类分类为D级；获奖等级按特等奖、一等奖、二等奖、三等奖、其他类填写。</w:t>
      </w:r>
    </w:p>
    <w:p/>
    <w:tbl>
      <w:tblPr>
        <w:tblStyle w:val="6"/>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b/>
                <w:bCs/>
              </w:rPr>
            </w:pPr>
            <w:r>
              <w:rPr>
                <w:rFonts w:hint="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tl2br w:val="nil"/>
              <w:tr2bl w:val="nil"/>
            </w:tcBorders>
          </w:tcPr>
          <w:p>
            <w:pPr>
              <w:jc w:val="center"/>
              <w:rPr>
                <w:rFonts w:eastAsia="宋体"/>
              </w:rPr>
            </w:pPr>
            <w:r>
              <w:rPr>
                <w:rFonts w:hint="eastAsia" w:eastAsia="宋体"/>
                <w:b/>
                <w:bCs/>
              </w:rPr>
              <w:t>类别</w:t>
            </w:r>
          </w:p>
        </w:tc>
        <w:tc>
          <w:tcPr>
            <w:tcW w:w="860" w:type="dxa"/>
            <w:tcBorders>
              <w:tl2br w:val="nil"/>
              <w:tr2bl w:val="nil"/>
            </w:tcBorders>
          </w:tcPr>
          <w:p>
            <w:pPr>
              <w:jc w:val="center"/>
              <w:rPr>
                <w:rFonts w:eastAsia="宋体"/>
                <w:b/>
                <w:bCs/>
              </w:rPr>
            </w:pPr>
            <w:r>
              <w:rPr>
                <w:rFonts w:hint="eastAsia"/>
                <w:b/>
                <w:bCs/>
              </w:rPr>
              <w:t>序号</w:t>
            </w:r>
          </w:p>
        </w:tc>
        <w:tc>
          <w:tcPr>
            <w:tcW w:w="920" w:type="dxa"/>
            <w:tcBorders>
              <w:tl2br w:val="nil"/>
              <w:tr2bl w:val="nil"/>
            </w:tcBorders>
          </w:tcPr>
          <w:p>
            <w:pPr>
              <w:jc w:val="center"/>
              <w:rPr>
                <w:rFonts w:eastAsia="宋体"/>
                <w:b/>
                <w:bCs/>
              </w:rPr>
            </w:pPr>
            <w:r>
              <w:rPr>
                <w:rFonts w:hint="eastAsia" w:eastAsia="宋体"/>
                <w:b/>
                <w:bCs/>
              </w:rPr>
              <w:t>指标</w:t>
            </w:r>
          </w:p>
          <w:p>
            <w:pPr>
              <w:jc w:val="center"/>
              <w:rPr>
                <w:rFonts w:eastAsia="宋体"/>
                <w:b/>
                <w:bCs/>
              </w:rPr>
            </w:pPr>
            <w:r>
              <w:rPr>
                <w:rFonts w:hint="eastAsia" w:eastAsia="宋体"/>
                <w:b/>
                <w:bCs/>
              </w:rPr>
              <w:t>等级</w:t>
            </w:r>
          </w:p>
        </w:tc>
        <w:tc>
          <w:tcPr>
            <w:tcW w:w="1130" w:type="dxa"/>
            <w:tcBorders>
              <w:tl2br w:val="nil"/>
              <w:tr2bl w:val="nil"/>
            </w:tcBorders>
          </w:tcPr>
          <w:p>
            <w:pPr>
              <w:jc w:val="center"/>
              <w:rPr>
                <w:rFonts w:eastAsia="宋体"/>
                <w:b/>
                <w:bCs/>
              </w:rPr>
            </w:pPr>
            <w:r>
              <w:rPr>
                <w:rFonts w:hint="eastAsia"/>
                <w:b/>
                <w:bCs/>
              </w:rPr>
              <w:t>授权专利名称</w:t>
            </w:r>
          </w:p>
        </w:tc>
        <w:tc>
          <w:tcPr>
            <w:tcW w:w="1149" w:type="dxa"/>
            <w:tcBorders>
              <w:tl2br w:val="nil"/>
              <w:tr2bl w:val="nil"/>
            </w:tcBorders>
          </w:tcPr>
          <w:p>
            <w:pPr>
              <w:jc w:val="center"/>
              <w:rPr>
                <w:b/>
                <w:bCs/>
              </w:rPr>
            </w:pPr>
            <w:r>
              <w:rPr>
                <w:rFonts w:hint="eastAsia"/>
                <w:b/>
                <w:bCs/>
              </w:rPr>
              <w:t>专利授权号</w:t>
            </w:r>
          </w:p>
        </w:tc>
        <w:tc>
          <w:tcPr>
            <w:tcW w:w="1050" w:type="dxa"/>
            <w:tcBorders>
              <w:tl2br w:val="nil"/>
              <w:tr2bl w:val="nil"/>
            </w:tcBorders>
          </w:tcPr>
          <w:p>
            <w:pPr>
              <w:jc w:val="center"/>
              <w:rPr>
                <w:b/>
                <w:bCs/>
              </w:rPr>
            </w:pPr>
            <w:r>
              <w:rPr>
                <w:rFonts w:hint="eastAsia"/>
                <w:b/>
                <w:bCs/>
              </w:rPr>
              <w:t>专利类型</w:t>
            </w:r>
          </w:p>
        </w:tc>
        <w:tc>
          <w:tcPr>
            <w:tcW w:w="1341" w:type="dxa"/>
            <w:tcBorders>
              <w:tl2br w:val="nil"/>
              <w:tr2bl w:val="nil"/>
            </w:tcBorders>
          </w:tcPr>
          <w:p>
            <w:pPr>
              <w:jc w:val="center"/>
              <w:rPr>
                <w:b/>
                <w:bCs/>
              </w:rPr>
            </w:pPr>
            <w:r>
              <w:rPr>
                <w:rFonts w:hint="eastAsia"/>
                <w:b/>
                <w:bCs/>
              </w:rPr>
              <w:t>授权</w:t>
            </w:r>
          </w:p>
          <w:p>
            <w:pPr>
              <w:jc w:val="center"/>
              <w:rPr>
                <w:rFonts w:eastAsia="宋体"/>
                <w:b/>
                <w:bCs/>
              </w:rPr>
            </w:pPr>
            <w:r>
              <w:rPr>
                <w:rFonts w:hint="eastAsia"/>
                <w:b/>
                <w:bCs/>
              </w:rPr>
              <w:t>年月</w:t>
            </w:r>
          </w:p>
        </w:tc>
        <w:tc>
          <w:tcPr>
            <w:tcW w:w="909" w:type="dxa"/>
            <w:tcBorders>
              <w:tl2br w:val="nil"/>
              <w:tr2bl w:val="nil"/>
            </w:tcBorders>
          </w:tcPr>
          <w:p>
            <w:pPr>
              <w:jc w:val="center"/>
              <w:rPr>
                <w:b/>
                <w:bCs/>
              </w:rPr>
            </w:pPr>
            <w:r>
              <w:rPr>
                <w:rFonts w:hint="eastAsia"/>
                <w:b/>
                <w:bCs/>
              </w:rPr>
              <w:t>第几发</w:t>
            </w:r>
          </w:p>
          <w:p>
            <w:pPr>
              <w:jc w:val="center"/>
              <w:rPr>
                <w:rFonts w:eastAsia="宋体"/>
                <w:b/>
                <w:bCs/>
              </w:rPr>
            </w:pPr>
            <w:r>
              <w:rPr>
                <w:rFonts w:hint="eastAsia"/>
                <w:b/>
                <w:bCs/>
              </w:rPr>
              <w:t>明人</w:t>
            </w:r>
          </w:p>
        </w:tc>
        <w:tc>
          <w:tcPr>
            <w:tcW w:w="1411" w:type="dxa"/>
            <w:tcBorders>
              <w:tl2br w:val="nil"/>
              <w:tr2bl w:val="nil"/>
            </w:tcBorders>
          </w:tcPr>
          <w:p>
            <w:pPr>
              <w:jc w:val="center"/>
              <w:rPr>
                <w:b/>
                <w:bCs/>
              </w:rPr>
            </w:pPr>
            <w:r>
              <w:rPr>
                <w:rFonts w:hint="eastAsia"/>
                <w:b/>
                <w:bCs/>
              </w:rPr>
              <w:t>转让或实施情况</w:t>
            </w:r>
          </w:p>
        </w:tc>
        <w:tc>
          <w:tcPr>
            <w:tcW w:w="700" w:type="dxa"/>
            <w:tcBorders>
              <w:tl2br w:val="nil"/>
              <w:tr2bl w:val="nil"/>
            </w:tcBorders>
          </w:tcPr>
          <w:p>
            <w:pPr>
              <w:jc w:val="center"/>
              <w:rPr>
                <w:b/>
                <w:bCs/>
              </w:rPr>
            </w:pPr>
            <w:r>
              <w:rPr>
                <w:rFonts w:hint="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tcBorders>
              <w:bottom w:val="single" w:color="000000" w:sz="12" w:space="0"/>
              <w:tl2br w:val="nil"/>
              <w:tr2bl w:val="nil"/>
            </w:tcBorders>
            <w:vAlign w:val="center"/>
          </w:tcPr>
          <w:p>
            <w:pPr>
              <w:jc w:val="center"/>
              <w:rPr>
                <w:b/>
                <w:bCs/>
              </w:rPr>
            </w:pPr>
            <w:r>
              <w:rPr>
                <w:rFonts w:hint="eastAsia"/>
                <w:b/>
                <w:bCs/>
              </w:rPr>
              <w:t>可计分</w:t>
            </w:r>
          </w:p>
        </w:tc>
        <w:tc>
          <w:tcPr>
            <w:tcW w:w="860" w:type="dxa"/>
            <w:tcBorders>
              <w:bottom w:val="single" w:color="000000" w:sz="12" w:space="0"/>
              <w:tl2br w:val="nil"/>
              <w:tr2bl w:val="nil"/>
            </w:tcBorders>
            <w:vAlign w:val="center"/>
          </w:tcPr>
          <w:p>
            <w:pPr>
              <w:jc w:val="center"/>
              <w:rPr>
                <w:rFonts w:hint="eastAsia" w:eastAsiaTheme="minorEastAsia"/>
                <w:lang w:val="en-US" w:eastAsia="zh-CN"/>
              </w:rPr>
            </w:pPr>
            <w:r>
              <w:rPr>
                <w:rFonts w:hint="eastAsia"/>
                <w:lang w:val="en-US" w:eastAsia="zh-CN"/>
              </w:rPr>
              <w:t>1</w:t>
            </w:r>
          </w:p>
        </w:tc>
        <w:tc>
          <w:tcPr>
            <w:tcW w:w="920"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C级</w:t>
            </w:r>
          </w:p>
        </w:tc>
        <w:tc>
          <w:tcPr>
            <w:tcW w:w="1130"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一种常用物理学透镜装置</w:t>
            </w:r>
          </w:p>
        </w:tc>
        <w:tc>
          <w:tcPr>
            <w:tcW w:w="1149"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ZL 2019 2 0887385.6</w:t>
            </w:r>
          </w:p>
        </w:tc>
        <w:tc>
          <w:tcPr>
            <w:tcW w:w="1050"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实用新型专利证书</w:t>
            </w:r>
          </w:p>
        </w:tc>
        <w:tc>
          <w:tcPr>
            <w:tcW w:w="1341" w:type="dxa"/>
            <w:tcBorders>
              <w:bottom w:val="single" w:color="000000" w:sz="12" w:space="0"/>
              <w:tl2br w:val="nil"/>
              <w:tr2bl w:val="nil"/>
            </w:tcBorders>
            <w:vAlign w:val="center"/>
          </w:tcPr>
          <w:p>
            <w:pPr>
              <w:jc w:val="center"/>
              <w:rPr>
                <w:rFonts w:hint="default" w:eastAsiaTheme="minorEastAsia"/>
                <w:lang w:val="en-US" w:eastAsia="zh-CN"/>
              </w:rPr>
            </w:pPr>
            <w:r>
              <w:rPr>
                <w:rFonts w:hint="eastAsia"/>
                <w:lang w:val="en-US" w:eastAsia="zh-CN"/>
              </w:rPr>
              <w:t>2019.6.13</w:t>
            </w:r>
          </w:p>
        </w:tc>
        <w:tc>
          <w:tcPr>
            <w:tcW w:w="909" w:type="dxa"/>
            <w:tcBorders>
              <w:bottom w:val="single" w:color="000000" w:sz="12" w:space="0"/>
              <w:tl2br w:val="nil"/>
              <w:tr2bl w:val="nil"/>
            </w:tcBorders>
            <w:vAlign w:val="center"/>
          </w:tcPr>
          <w:p>
            <w:pPr>
              <w:jc w:val="center"/>
              <w:rPr>
                <w:rFonts w:hint="eastAsia" w:eastAsiaTheme="minorEastAsia"/>
                <w:lang w:val="en-US" w:eastAsia="zh-CN"/>
              </w:rPr>
            </w:pPr>
            <w:r>
              <w:rPr>
                <w:rFonts w:hint="eastAsia"/>
                <w:lang w:val="en-US" w:eastAsia="zh-CN"/>
              </w:rPr>
              <w:t>第一</w:t>
            </w:r>
          </w:p>
        </w:tc>
        <w:tc>
          <w:tcPr>
            <w:tcW w:w="1411" w:type="dxa"/>
            <w:tcBorders>
              <w:bottom w:val="single" w:color="000000" w:sz="12" w:space="0"/>
              <w:tl2br w:val="nil"/>
              <w:tr2bl w:val="nil"/>
            </w:tcBorders>
            <w:vAlign w:val="center"/>
          </w:tcPr>
          <w:p>
            <w:pPr>
              <w:jc w:val="center"/>
            </w:pPr>
          </w:p>
        </w:tc>
        <w:tc>
          <w:tcPr>
            <w:tcW w:w="700" w:type="dxa"/>
            <w:tcBorders>
              <w:bottom w:val="single" w:color="000000" w:sz="12" w:space="0"/>
              <w:tl2br w:val="nil"/>
              <w:tr2bl w:val="nil"/>
            </w:tcBorders>
            <w:vAlign w:val="center"/>
          </w:tcPr>
          <w:p>
            <w:pPr>
              <w:snapToGrid w:val="0"/>
              <w:jc w:val="center"/>
            </w:pPr>
          </w:p>
          <w:p>
            <w:pPr>
              <w:snapToGrid w:val="0"/>
              <w:jc w:val="center"/>
            </w:pPr>
          </w:p>
          <w:p>
            <w:pPr>
              <w:jc w:val="center"/>
              <w:rPr>
                <w:rFonts w:hint="default" w:eastAsiaTheme="minorEastAsia"/>
                <w:lang w:val="en-US" w:eastAsia="zh-CN"/>
              </w:rPr>
            </w:pPr>
            <w:r>
              <w:rPr>
                <w:rFonts w:hint="eastAsia"/>
                <w:lang w:val="en-US" w:eastAsia="zh-CN"/>
              </w:rPr>
              <w:t>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000000" w:sz="12" w:space="0"/>
            </w:tcBorders>
          </w:tcPr>
          <w:p>
            <w:pPr>
              <w:jc w:val="left"/>
              <w:rPr>
                <w:b/>
                <w:bCs/>
              </w:rPr>
            </w:pPr>
            <w:r>
              <w:rPr>
                <w:rFonts w:hint="eastAsia"/>
                <w:b/>
                <w:bCs/>
              </w:rPr>
              <w:t>不可计分</w:t>
            </w:r>
          </w:p>
        </w:tc>
        <w:tc>
          <w:tcPr>
            <w:tcW w:w="860" w:type="dxa"/>
            <w:tcBorders>
              <w:top w:val="single" w:color="000000" w:sz="12" w:space="0"/>
            </w:tcBorders>
          </w:tcPr>
          <w:p>
            <w:pPr>
              <w:jc w:val="left"/>
            </w:pPr>
          </w:p>
        </w:tc>
        <w:tc>
          <w:tcPr>
            <w:tcW w:w="920" w:type="dxa"/>
            <w:tcBorders>
              <w:top w:val="single" w:color="000000" w:sz="12" w:space="0"/>
            </w:tcBorders>
          </w:tcPr>
          <w:p>
            <w:pPr>
              <w:jc w:val="left"/>
            </w:pPr>
          </w:p>
        </w:tc>
        <w:tc>
          <w:tcPr>
            <w:tcW w:w="1130" w:type="dxa"/>
            <w:tcBorders>
              <w:top w:val="single" w:color="000000" w:sz="12" w:space="0"/>
            </w:tcBorders>
          </w:tcPr>
          <w:p>
            <w:pPr>
              <w:jc w:val="left"/>
            </w:pPr>
          </w:p>
        </w:tc>
        <w:tc>
          <w:tcPr>
            <w:tcW w:w="1149" w:type="dxa"/>
            <w:tcBorders>
              <w:top w:val="single" w:color="000000" w:sz="12" w:space="0"/>
            </w:tcBorders>
          </w:tcPr>
          <w:p>
            <w:pPr>
              <w:jc w:val="left"/>
            </w:pPr>
          </w:p>
        </w:tc>
        <w:tc>
          <w:tcPr>
            <w:tcW w:w="1050" w:type="dxa"/>
            <w:tcBorders>
              <w:top w:val="single" w:color="000000" w:sz="12" w:space="0"/>
            </w:tcBorders>
          </w:tcPr>
          <w:p>
            <w:pPr>
              <w:jc w:val="left"/>
            </w:pPr>
          </w:p>
        </w:tc>
        <w:tc>
          <w:tcPr>
            <w:tcW w:w="1341" w:type="dxa"/>
            <w:tcBorders>
              <w:top w:val="single" w:color="000000" w:sz="12" w:space="0"/>
            </w:tcBorders>
          </w:tcPr>
          <w:p>
            <w:pPr>
              <w:jc w:val="left"/>
            </w:pPr>
          </w:p>
        </w:tc>
        <w:tc>
          <w:tcPr>
            <w:tcW w:w="909" w:type="dxa"/>
            <w:tcBorders>
              <w:top w:val="single" w:color="000000" w:sz="12" w:space="0"/>
            </w:tcBorders>
          </w:tcPr>
          <w:p>
            <w:pPr>
              <w:jc w:val="left"/>
            </w:pPr>
          </w:p>
        </w:tc>
        <w:tc>
          <w:tcPr>
            <w:tcW w:w="1411" w:type="dxa"/>
            <w:tcBorders>
              <w:top w:val="single" w:color="000000" w:sz="12" w:space="0"/>
            </w:tcBorders>
          </w:tcPr>
          <w:p>
            <w:pPr>
              <w:jc w:val="left"/>
            </w:pPr>
          </w:p>
        </w:tc>
        <w:tc>
          <w:tcPr>
            <w:tcW w:w="700" w:type="dxa"/>
            <w:tcBorders>
              <w:top w:val="single" w:color="000000" w:sz="12" w:space="0"/>
            </w:tcBorders>
          </w:tcPr>
          <w:p>
            <w:pPr>
              <w:snapToGrid w:val="0"/>
              <w:jc w:val="left"/>
            </w:pPr>
          </w:p>
          <w:p>
            <w:pPr>
              <w:jc w:val="left"/>
            </w:pPr>
          </w:p>
        </w:tc>
      </w:tr>
    </w:tbl>
    <w:p>
      <w:pPr>
        <w:ind w:firstLine="420" w:firstLineChars="200"/>
      </w:pPr>
      <w:r>
        <w:rPr>
          <w:rFonts w:hint="eastAsia"/>
        </w:rPr>
        <w:t>注：自然科学类参考评审文件附件1-</w:t>
      </w:r>
      <w:r>
        <w:t>5</w:t>
      </w:r>
      <w:r>
        <w:rPr>
          <w:rFonts w:hint="eastAsia"/>
        </w:rPr>
        <w:t>填写，指标等级：可计分类按A-C填写，不可计分类为D级。</w:t>
      </w:r>
    </w:p>
    <w:p/>
    <w:p>
      <w:pPr>
        <w:widowControl/>
        <w:spacing w:line="600" w:lineRule="auto"/>
        <w:jc w:val="center"/>
        <w:rPr>
          <w:rFonts w:cs="方正小标宋简体" w:asciiTheme="majorEastAsia" w:hAnsiTheme="majorEastAsia" w:eastAsiaTheme="majorEastAsia"/>
          <w:b/>
          <w:kern w:val="0"/>
          <w:szCs w:val="21"/>
        </w:rPr>
      </w:pPr>
      <w:r>
        <w:br w:type="page"/>
      </w:r>
      <w:r>
        <w:rPr>
          <w:rFonts w:hint="eastAsia" w:cs="方正小标宋简体" w:asciiTheme="majorEastAsia" w:hAnsiTheme="majorEastAsia" w:eastAsiaTheme="majorEastAsia"/>
          <w:b/>
          <w:kern w:val="0"/>
          <w:szCs w:val="21"/>
        </w:rPr>
        <w:t>双师型教师实践应用能力评价计分汇总表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p>
        </w:tc>
        <w:tc>
          <w:tcPr>
            <w:tcW w:w="1407" w:type="dxa"/>
            <w:vAlign w:val="center"/>
          </w:tcPr>
          <w:p>
            <w:pPr>
              <w:widowControl/>
              <w:jc w:val="center"/>
              <w:rPr>
                <w:rFonts w:asciiTheme="minorEastAsia" w:hAnsiTheme="minorEastAsia"/>
                <w:szCs w:val="21"/>
              </w:rPr>
            </w:pPr>
          </w:p>
        </w:tc>
        <w:tc>
          <w:tcPr>
            <w:tcW w:w="1830"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ind w:firstLine="480" w:firstLineChars="200"/>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tcPr>
          <w:p>
            <w:pPr>
              <w:widowControl/>
              <w:jc w:val="left"/>
              <w:rPr>
                <w:rFonts w:asciiTheme="minorEastAsia" w:hAnsiTheme="minorEastAsia"/>
                <w:szCs w:val="21"/>
              </w:rPr>
            </w:pPr>
          </w:p>
        </w:tc>
        <w:tc>
          <w:tcPr>
            <w:tcW w:w="1559" w:type="dxa"/>
          </w:tcPr>
          <w:p>
            <w:pPr>
              <w:widowControl/>
              <w:jc w:val="left"/>
              <w:rPr>
                <w:rFonts w:asciiTheme="minorEastAsia" w:hAnsiTheme="minorEastAsia"/>
                <w:szCs w:val="21"/>
              </w:rPr>
            </w:pPr>
          </w:p>
        </w:tc>
        <w:tc>
          <w:tcPr>
            <w:tcW w:w="160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r>
    </w:tbl>
    <w:p>
      <w:pPr>
        <w:widowControl/>
        <w:spacing w:before="156"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专技技能，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13"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156" w:beforeLines="50"/>
        <w:jc w:val="left"/>
        <w:textAlignment w:val="center"/>
        <w:rPr>
          <w:rFonts w:cs="Calibri" w:asciiTheme="minorEastAsia" w:hAnsiTheme="minorEastAsia"/>
          <w:spacing w:val="2"/>
          <w:kern w:val="0"/>
          <w:szCs w:val="21"/>
        </w:rPr>
      </w:pPr>
      <w:r>
        <w:rPr>
          <w:rFonts w:hint="eastAsia" w:cs="宋体" w:asciiTheme="minorEastAsia" w:hAnsiTheme="minorEastAsia"/>
          <w:kern w:val="0"/>
          <w:szCs w:val="21"/>
        </w:rPr>
        <w:t>注：</w:t>
      </w:r>
      <w:r>
        <w:rPr>
          <w:rFonts w:hint="eastAsia" w:asciiTheme="minorEastAsia" w:hAnsiTheme="minorEastAsia"/>
          <w:szCs w:val="21"/>
        </w:rPr>
        <w:t>参考评审文件附件1-7表2填写，</w:t>
      </w:r>
      <w:r>
        <w:rPr>
          <w:rFonts w:hint="eastAsia" w:cs="宋体" w:asciiTheme="minorEastAsia" w:hAnsiTheme="minorEastAsia"/>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asciiTheme="minorEastAsia" w:hAnsiTheme="minorEastAsia"/>
          <w:b/>
          <w:szCs w:val="21"/>
        </w:rPr>
      </w:pPr>
      <w:r>
        <w:rPr>
          <w:rFonts w:hint="eastAsia" w:asciiTheme="minorEastAsia" w:hAnsiTheme="minorEastAsia"/>
          <w:b/>
          <w:szCs w:val="21"/>
        </w:rPr>
        <w:t>社会服务效益（经费）</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center"/>
              <w:rPr>
                <w:rFonts w:asciiTheme="minorEastAsia" w:hAnsiTheme="minorEastAsia"/>
                <w:szCs w:val="21"/>
              </w:rPr>
            </w:pPr>
            <w:r>
              <w:rPr>
                <w:rFonts w:hint="eastAsia" w:asciiTheme="minorEastAsia" w:hAnsiTheme="minorEastAsia"/>
                <w:szCs w:val="21"/>
              </w:rPr>
              <w:t>指标说明</w:t>
            </w:r>
          </w:p>
        </w:tc>
        <w:tc>
          <w:tcPr>
            <w:tcW w:w="1842" w:type="dxa"/>
            <w:tcBorders>
              <w:right w:val="single" w:color="auto" w:sz="4" w:space="0"/>
            </w:tcBorders>
          </w:tcPr>
          <w:p>
            <w:pPr>
              <w:widowControl/>
              <w:jc w:val="center"/>
              <w:rPr>
                <w:rFonts w:asciiTheme="minorEastAsia" w:hAnsiTheme="minorEastAsia"/>
                <w:szCs w:val="21"/>
              </w:rPr>
            </w:pPr>
            <w:r>
              <w:rPr>
                <w:rFonts w:hint="eastAsia" w:asciiTheme="minorEastAsia" w:hAnsiTheme="minorEastAsia"/>
                <w:szCs w:val="21"/>
              </w:rPr>
              <w:t>科类</w:t>
            </w:r>
          </w:p>
        </w:tc>
        <w:tc>
          <w:tcPr>
            <w:tcW w:w="1276" w:type="dxa"/>
            <w:tcBorders>
              <w:left w:val="single" w:color="auto" w:sz="4" w:space="0"/>
            </w:tcBorders>
          </w:tcPr>
          <w:p>
            <w:pPr>
              <w:widowControl/>
              <w:jc w:val="center"/>
              <w:rPr>
                <w:rFonts w:asciiTheme="minorEastAsia" w:hAnsiTheme="minorEastAsia"/>
                <w:szCs w:val="21"/>
              </w:rPr>
            </w:pPr>
            <w:r>
              <w:rPr>
                <w:rFonts w:hint="eastAsia" w:asciiTheme="minorEastAsia" w:hAnsiTheme="minorEastAsia"/>
                <w:szCs w:val="21"/>
              </w:rPr>
              <w:t>金额</w:t>
            </w:r>
          </w:p>
        </w:tc>
        <w:tc>
          <w:tcPr>
            <w:tcW w:w="1134" w:type="dxa"/>
          </w:tcPr>
          <w:p>
            <w:pPr>
              <w:widowControl/>
              <w:jc w:val="center"/>
              <w:rPr>
                <w:rFonts w:asciiTheme="minorEastAsia" w:hAnsiTheme="minorEastAsia"/>
                <w:szCs w:val="21"/>
              </w:rPr>
            </w:pPr>
            <w:r>
              <w:rPr>
                <w:rFonts w:hint="eastAsia" w:asciiTheme="minorEastAsia" w:hAnsiTheme="minorEastAsia"/>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asciiTheme="minorEastAsia" w:hAnsiTheme="minorEastAsia"/>
                <w:szCs w:val="21"/>
              </w:rPr>
            </w:pPr>
            <w:r>
              <w:rPr>
                <w:rFonts w:hint="eastAsia" w:cs="Calibri" w:asciiTheme="minorEastAsia" w:hAnsiTheme="minorEastAsia"/>
                <w:spacing w:val="2"/>
                <w:kern w:val="0"/>
                <w:szCs w:val="21"/>
              </w:rPr>
              <w:t>人文社科类每1万元计10分，自然科学类每3万元计10分，总分按折算比例进行累计。</w:t>
            </w:r>
          </w:p>
        </w:tc>
        <w:tc>
          <w:tcPr>
            <w:tcW w:w="1842" w:type="dxa"/>
            <w:tcBorders>
              <w:right w:val="single" w:color="auto" w:sz="4" w:space="0"/>
            </w:tcBorders>
          </w:tcPr>
          <w:p>
            <w:pPr>
              <w:widowControl/>
              <w:jc w:val="left"/>
              <w:rPr>
                <w:rFonts w:asciiTheme="minorEastAsia" w:hAnsiTheme="minorEastAsia"/>
                <w:szCs w:val="21"/>
              </w:rPr>
            </w:pPr>
          </w:p>
        </w:tc>
        <w:tc>
          <w:tcPr>
            <w:tcW w:w="1276" w:type="dxa"/>
            <w:tcBorders>
              <w:left w:val="single" w:color="auto" w:sz="4" w:space="0"/>
            </w:tcBorders>
          </w:tcPr>
          <w:p>
            <w:pPr>
              <w:widowControl/>
              <w:jc w:val="left"/>
              <w:rPr>
                <w:rFonts w:asciiTheme="minorEastAsia" w:hAnsiTheme="minorEastAsia"/>
                <w:szCs w:val="21"/>
              </w:rPr>
            </w:pPr>
          </w:p>
        </w:tc>
        <w:tc>
          <w:tcPr>
            <w:tcW w:w="1134" w:type="dxa"/>
          </w:tcPr>
          <w:p>
            <w:pPr>
              <w:widowControl/>
              <w:jc w:val="left"/>
              <w:rPr>
                <w:rFonts w:asciiTheme="minorEastAsia" w:hAnsiTheme="minorEastAsia"/>
                <w:szCs w:val="21"/>
              </w:rPr>
            </w:pPr>
          </w:p>
        </w:tc>
      </w:tr>
    </w:tbl>
    <w:p>
      <w:pPr>
        <w:widowControl/>
        <w:jc w:val="center"/>
        <w:rPr>
          <w:rFonts w:asciiTheme="minorEastAsia" w:hAnsiTheme="minorEastAsia"/>
          <w:b/>
          <w:szCs w:val="21"/>
        </w:rPr>
      </w:pPr>
    </w:p>
    <w:p>
      <w:pPr>
        <w:widowControl/>
        <w:jc w:val="center"/>
        <w:rPr>
          <w:rFonts w:asciiTheme="minorEastAsia" w:hAnsiTheme="minorEastAsia"/>
          <w:b/>
          <w:szCs w:val="21"/>
        </w:rPr>
      </w:pPr>
      <w:r>
        <w:rPr>
          <w:rFonts w:hint="eastAsia" w:asciiTheme="minorEastAsia" w:hAnsiTheme="minorEastAsia"/>
          <w:b/>
          <w:szCs w:val="21"/>
        </w:rPr>
        <w:t>申报者各项能力积分汇总表</w:t>
      </w:r>
    </w:p>
    <w:tbl>
      <w:tblPr>
        <w:tblStyle w:val="6"/>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教育教育能力分值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140</w:t>
            </w:r>
          </w:p>
        </w:tc>
        <w:tc>
          <w:tcPr>
            <w:tcW w:w="1134" w:type="dxa"/>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748</w:t>
            </w: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hint="default" w:asciiTheme="minorEastAsia" w:hAnsiTheme="minorEastAsia" w:eastAsiaTheme="minorEastAsia"/>
                <w:szCs w:val="21"/>
                <w:lang w:val="en-US" w:eastAsia="zh-CN"/>
              </w:rPr>
            </w:pPr>
            <w:r>
              <w:rPr>
                <w:rFonts w:hint="eastAsia" w:asciiTheme="minorEastAsia" w:hAnsiTheme="minorEastAsia"/>
                <w:szCs w:val="21"/>
                <w:lang w:val="en-US" w:eastAsia="zh-CN"/>
              </w:rPr>
              <w:t>888</w:t>
            </w: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asciiTheme="minorEastAsia" w:hAnsiTheme="minorEastAsia"/>
                <w:szCs w:val="21"/>
              </w:rPr>
            </w:pPr>
          </w:p>
        </w:tc>
        <w:tc>
          <w:tcPr>
            <w:tcW w:w="1134" w:type="dxa"/>
            <w:vAlign w:val="center"/>
          </w:tcPr>
          <w:p>
            <w:pPr>
              <w:widowControl/>
              <w:jc w:val="center"/>
              <w:rPr>
                <w:rFonts w:asciiTheme="minorEastAsia" w:hAnsiTheme="minorEastAsia"/>
                <w:szCs w:val="21"/>
              </w:rPr>
            </w:pPr>
          </w:p>
        </w:tc>
        <w:tc>
          <w:tcPr>
            <w:tcW w:w="1418" w:type="dxa"/>
            <w:vAlign w:val="center"/>
          </w:tcPr>
          <w:p>
            <w:pPr>
              <w:widowControl/>
              <w:jc w:val="center"/>
              <w:rPr>
                <w:rFonts w:asciiTheme="minorEastAsia" w:hAnsiTheme="minorEastAsia"/>
                <w:szCs w:val="21"/>
              </w:rPr>
            </w:pPr>
          </w:p>
        </w:tc>
        <w:tc>
          <w:tcPr>
            <w:tcW w:w="1558" w:type="dxa"/>
            <w:tcBorders>
              <w:right w:val="single" w:color="auto" w:sz="4" w:space="0"/>
            </w:tcBorders>
            <w:vAlign w:val="center"/>
          </w:tcPr>
          <w:p>
            <w:pPr>
              <w:widowControl/>
              <w:jc w:val="center"/>
              <w:rPr>
                <w:rFonts w:asciiTheme="minorEastAsia" w:hAnsiTheme="minorEastAsia"/>
                <w:szCs w:val="21"/>
              </w:rPr>
            </w:pPr>
          </w:p>
        </w:tc>
        <w:tc>
          <w:tcPr>
            <w:tcW w:w="2977" w:type="dxa"/>
            <w:tcBorders>
              <w:left w:val="single" w:color="auto" w:sz="4" w:space="0"/>
            </w:tcBorders>
            <w:vAlign w:val="center"/>
          </w:tcPr>
          <w:p>
            <w:pPr>
              <w:widowControl/>
              <w:jc w:val="center"/>
              <w:rPr>
                <w:rFonts w:asciiTheme="minorEastAsia" w:hAnsiTheme="minorEastAsia"/>
                <w:szCs w:val="21"/>
              </w:rPr>
            </w:pPr>
          </w:p>
        </w:tc>
      </w:tr>
    </w:tbl>
    <w:p>
      <w:pPr>
        <w:widowControl/>
        <w:jc w:val="left"/>
      </w:pPr>
      <w:r>
        <w:rPr>
          <w:rFonts w:hint="eastAsia" w:cs="仿宋" w:asciiTheme="minorEastAsia" w:hAnsiTheme="minorEastAsia"/>
          <w:kern w:val="1"/>
          <w:szCs w:val="21"/>
        </w:rPr>
        <w:t>注：教学为主型教育教学能力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pPr>
    </w:p>
    <w:tbl>
      <w:tblPr>
        <w:tblStyle w:val="6"/>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410" w:hRule="atLeast"/>
          <w:jc w:val="center"/>
        </w:trPr>
        <w:tc>
          <w:tcPr>
            <w:tcW w:w="9854" w:type="dxa"/>
          </w:tcPr>
          <w:p>
            <w:pP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我深感荣幸能够有机会申报副教授职位。在过去数年的教学生涯中，我始终致力于提升教学质量，推动科研创新，并在学术服务方面做出了一定的贡献。以下是我对近年来专业技术工作的详细述评。</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‌一、教学工作：致力于提升教学质量与效果‌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教学工作是教师的核心职责，我始终将提升教学质量和效果放在首位。在课程设计上，我注重理论与实践相结合，通过引入最新的科研成果和实际应用案例，使课程内容更加生动、实用。在教学方法上，我积极探索和采用新的教学手段，如多媒体教学、在线互动平台等，以增强学生的学习兴趣和参与度。我还鼓励学生参与课堂讨论和小组项目，培养他们的团队合作能力和解决问题的能力。通过这些努力，我所教授的课程在学生评价中始终保持着较高的满意度。</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‌二、科研工作：推动创新，取得显著成果‌</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科研工作是提升教师学术水平的重要途径。我始终保持着对科研的热情和投入，致力于在物理学的前沿领域取得突破。近年来，我主要聚焦于</w:t>
            </w:r>
            <w:r>
              <w:rPr>
                <w:rFonts w:hint="default" w:ascii="Times New Roman" w:hAnsi="Times New Roman" w:cs="Times New Roman"/>
                <w:sz w:val="24"/>
                <w:szCs w:val="24"/>
                <w:lang w:val="en-US" w:eastAsia="zh-CN"/>
              </w:rPr>
              <w:t>材料制备、表面增强拉曼光谱</w:t>
            </w:r>
            <w:r>
              <w:rPr>
                <w:rFonts w:hint="default" w:ascii="Times New Roman" w:hAnsi="Times New Roman" w:cs="Times New Roman"/>
                <w:sz w:val="24"/>
                <w:szCs w:val="24"/>
              </w:rPr>
              <w:t>的研究，在</w:t>
            </w:r>
            <w:r>
              <w:rPr>
                <w:rFonts w:hint="default" w:ascii="Times New Roman" w:hAnsi="Times New Roman" w:cs="Times New Roman"/>
                <w:sz w:val="24"/>
                <w:szCs w:val="24"/>
                <w:lang w:val="en-US" w:eastAsia="zh-CN"/>
              </w:rPr>
              <w:t>SCI</w:t>
            </w:r>
            <w:r>
              <w:rPr>
                <w:rFonts w:hint="default" w:ascii="Times New Roman" w:hAnsi="Times New Roman" w:cs="Times New Roman"/>
                <w:sz w:val="24"/>
                <w:szCs w:val="24"/>
              </w:rPr>
              <w:t>期刊上发表了多篇论文，并受到了同行的广泛关注和认可。多次参加国际和国内学术会议，与同行交流最新的研究成果和学术动态，拓宽了自己的学术视野。我始终保持着对</w:t>
            </w:r>
            <w:r>
              <w:rPr>
                <w:rFonts w:hint="default" w:ascii="Times New Roman" w:hAnsi="Times New Roman" w:cs="Times New Roman"/>
                <w:sz w:val="24"/>
                <w:szCs w:val="24"/>
                <w:lang w:val="en-US" w:eastAsia="zh-CN"/>
              </w:rPr>
              <w:t>科研工作</w:t>
            </w:r>
            <w:r>
              <w:rPr>
                <w:rFonts w:hint="default" w:ascii="Times New Roman" w:hAnsi="Times New Roman" w:cs="Times New Roman"/>
                <w:sz w:val="24"/>
                <w:szCs w:val="24"/>
              </w:rPr>
              <w:t>的热情和投入。</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w:t>
            </w:r>
            <w:r>
              <w:rPr>
                <w:rFonts w:hint="default" w:ascii="Times New Roman" w:hAnsi="Times New Roman" w:cs="Times New Roman"/>
                <w:sz w:val="24"/>
                <w:szCs w:val="24"/>
                <w:lang w:val="en-US" w:eastAsia="zh-CN"/>
              </w:rPr>
              <w:t>三</w:t>
            </w:r>
            <w:r>
              <w:rPr>
                <w:rFonts w:hint="default" w:ascii="Times New Roman" w:hAnsi="Times New Roman" w:cs="Times New Roman"/>
                <w:sz w:val="24"/>
                <w:szCs w:val="24"/>
              </w:rPr>
              <w:t>、个人发展与未来规划‌</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sz w:val="24"/>
                <w:szCs w:val="24"/>
              </w:rPr>
            </w:pPr>
            <w:r>
              <w:rPr>
                <w:rFonts w:hint="default" w:ascii="Times New Roman" w:hAnsi="Times New Roman" w:cs="Times New Roman"/>
                <w:sz w:val="24"/>
                <w:szCs w:val="24"/>
              </w:rPr>
              <w:t>在个人发展方面，我始终保持着对新知识和新技能的渴望和学习态度。我将继续致力于提升教学质量和科研水平。在教学方面，我将进一步探索和实践新的教学方法和手段，以适应不断变化的教育需求和学生特点。在科研方面，我将继续深入探索物理学的前沿领域，努力取得更多具有创新性和实用性的研究成果。同时，我还将积极参与学术服务和学科建设，为学科的发展做出更大的贡献。</w:t>
            </w:r>
          </w:p>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rPr>
            </w:pPr>
            <w:r>
              <w:rPr>
                <w:rFonts w:hint="default" w:ascii="Times New Roman" w:hAnsi="Times New Roman" w:cs="Times New Roman"/>
                <w:sz w:val="24"/>
                <w:szCs w:val="24"/>
              </w:rPr>
              <w:t>综上所述，我在过去数年的专业技术工作中取得了显著的成绩和进步。我深知副教授职位不仅是一个荣誉更是一个责任和使命。如果我有幸获得这一职位，我将以更加饱满的热情和更加坚定的决心投入到未来的教学和科研工作中去为学科的发展和学生的成长做出更大的贡献。</w:t>
            </w: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本人承诺：</w:t>
            </w: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p>
          <w:p>
            <w:pPr>
              <w:rPr>
                <w:rFonts w:hint="default" w:ascii="Times New Roman" w:hAnsi="Times New Roman" w:cs="Times New Roman"/>
              </w:rPr>
            </w:pPr>
            <w:r>
              <w:rPr>
                <w:rFonts w:hint="default" w:ascii="Times New Roman" w:hAnsi="Times New Roman" w:cs="Times New Roman"/>
              </w:rPr>
              <w:t xml:space="preserve">                                                       签名：                   年   月   日</w:t>
            </w: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6"/>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lang w:val="en-US" w:eastAsia="zh-CN"/>
              </w:rPr>
              <w:t>杨伟业</w:t>
            </w:r>
          </w:p>
        </w:tc>
        <w:tc>
          <w:tcPr>
            <w:tcW w:w="1543"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lang w:val="en-US" w:eastAsia="zh-CN"/>
              </w:rPr>
              <w:t>物理与电子工程学院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ascii="仿宋_GB2312" w:eastAsia="仿宋_GB2312"/>
                <w:sz w:val="30"/>
                <w:szCs w:val="30"/>
              </w:rPr>
            </w:pPr>
            <w:r>
              <w:rPr>
                <w:rFonts w:hint="eastAsia" w:ascii="仿宋_GB2312" w:eastAsia="仿宋_GB2312"/>
                <w:sz w:val="30"/>
                <w:szCs w:val="30"/>
                <w:lang w:val="en-US" w:eastAsia="zh-CN"/>
              </w:rPr>
              <w:t>物理学</w:t>
            </w:r>
          </w:p>
        </w:tc>
        <w:tc>
          <w:tcPr>
            <w:tcW w:w="1417"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ascii="仿宋_GB2312" w:eastAsia="仿宋_GB2312"/>
                <w:sz w:val="30"/>
                <w:szCs w:val="30"/>
              </w:rPr>
            </w:pPr>
            <w:r>
              <w:rPr>
                <w:rFonts w:hint="eastAsia" w:ascii="仿宋_GB2312" w:eastAsia="仿宋_GB2312"/>
                <w:sz w:val="30"/>
                <w:szCs w:val="30"/>
                <w:lang w:val="en-US" w:eastAsia="zh-CN"/>
              </w:rPr>
              <w:t>教学科研型副教授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ascii="仿宋_GB2312" w:eastAsia="仿宋_GB2312"/>
                <w:sz w:val="30"/>
                <w:szCs w:val="30"/>
              </w:rPr>
              <w:t>教学业绩水平鉴定意见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请根据《条件》中相应的教学业绩条件1及申报人的教学业绩进行鉴定：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ascii="仿宋_GB2312" w:eastAsia="仿宋_GB2312"/>
                <w:sz w:val="30"/>
                <w:szCs w:val="30"/>
              </w:rPr>
            </w:pPr>
            <w:r>
              <w:rPr>
                <w:rFonts w:hint="eastAsia" w:ascii="仿宋_GB2312" w:eastAsia="仿宋_GB2312"/>
                <w:sz w:val="30"/>
                <w:szCs w:val="30"/>
              </w:rPr>
              <w:t>科研业绩水平鉴定意见</w:t>
            </w:r>
          </w:p>
        </w:tc>
        <w:tc>
          <w:tcPr>
            <w:tcW w:w="8788" w:type="dxa"/>
            <w:gridSpan w:val="5"/>
          </w:tcPr>
          <w:p>
            <w:pPr>
              <w:spacing w:line="360" w:lineRule="exact"/>
              <w:rPr>
                <w:rFonts w:ascii="仿宋_GB2312" w:eastAsia="仿宋_GB2312"/>
                <w:szCs w:val="21"/>
              </w:rPr>
            </w:pPr>
            <w:r>
              <w:rPr>
                <w:rFonts w:hint="eastAsia" w:ascii="仿宋_GB2312" w:eastAsia="仿宋_GB2312"/>
                <w:szCs w:val="21"/>
              </w:rPr>
              <w:t>请根据《条件》中相应的科研业绩条件及申报人的科研业绩进行鉴定：</w:t>
            </w: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24"/>
                <w:szCs w:val="24"/>
              </w:rPr>
            </w:pPr>
          </w:p>
          <w:p>
            <w:pPr>
              <w:spacing w:line="360" w:lineRule="exact"/>
              <w:rPr>
                <w:rFonts w:ascii="仿宋_GB2312" w:eastAsia="仿宋_GB2312"/>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ascii="仿宋_GB2312" w:eastAsia="仿宋_GB2312"/>
                <w:sz w:val="30"/>
                <w:szCs w:val="30"/>
              </w:rPr>
            </w:pPr>
          </w:p>
          <w:p>
            <w:pPr>
              <w:spacing w:line="360" w:lineRule="exact"/>
              <w:rPr>
                <w:rFonts w:ascii="仿宋_GB2312" w:eastAsia="仿宋_GB2312"/>
                <w:sz w:val="30"/>
                <w:szCs w:val="30"/>
              </w:rPr>
            </w:pPr>
            <w:r>
              <w:rPr>
                <w:rFonts w:hint="eastAsia" w:ascii="仿宋_GB2312" w:eastAsia="仿宋_GB2312"/>
                <w:sz w:val="30"/>
                <w:szCs w:val="30"/>
              </w:rPr>
              <w:t>二级学院职称评审推荐工作委员会成员签名：</w:t>
            </w: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rPr>
                <w:rFonts w:ascii="仿宋_GB2312" w:eastAsia="仿宋_GB2312"/>
                <w:sz w:val="30"/>
                <w:szCs w:val="30"/>
              </w:rPr>
            </w:pPr>
          </w:p>
          <w:p>
            <w:pPr>
              <w:spacing w:line="360" w:lineRule="exact"/>
              <w:ind w:firstLine="3600" w:firstLineChars="1200"/>
              <w:rPr>
                <w:rFonts w:ascii="仿宋_GB2312" w:eastAsia="仿宋_GB2312"/>
                <w:sz w:val="30"/>
                <w:szCs w:val="30"/>
              </w:rPr>
            </w:pPr>
            <w:r>
              <w:rPr>
                <w:rFonts w:hint="eastAsia" w:ascii="仿宋_GB2312" w:eastAsia="仿宋_GB2312"/>
                <w:sz w:val="30"/>
                <w:szCs w:val="30"/>
              </w:rPr>
              <w:t>日期：          年    月    日</w:t>
            </w:r>
          </w:p>
          <w:p>
            <w:pPr>
              <w:spacing w:line="360" w:lineRule="exact"/>
              <w:ind w:firstLine="3600" w:firstLineChars="1200"/>
              <w:rPr>
                <w:rFonts w:ascii="仿宋_GB2312" w:eastAsia="仿宋_GB2312"/>
                <w:sz w:val="30"/>
                <w:szCs w:val="30"/>
              </w:rPr>
            </w:pPr>
          </w:p>
        </w:tc>
      </w:tr>
    </w:tbl>
    <w:p>
      <w:pPr>
        <w:ind w:firstLine="300" w:firstLineChars="100"/>
        <w:rPr>
          <w:rFonts w:ascii="仿宋_GB2312" w:eastAsia="仿宋_GB2312"/>
          <w:sz w:val="30"/>
          <w:szCs w:val="30"/>
        </w:rPr>
      </w:pPr>
      <w:r>
        <w:rPr>
          <w:rFonts w:hint="eastAsia" w:ascii="仿宋_GB2312" w:eastAsia="仿宋_GB2312"/>
          <w:sz w:val="30"/>
          <w:szCs w:val="30"/>
        </w:rPr>
        <w:t>注：只对申报教授、副教授人员书写鉴定意见。</w:t>
      </w:r>
    </w:p>
    <w:p/>
    <w:tbl>
      <w:tblPr>
        <w:tblStyle w:val="5"/>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二级学院职称评审推荐工作委员会审核推荐意见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ascii="宋体" w:hAnsi="宋体" w:cs="Arial"/>
                <w:kern w:val="0"/>
                <w:sz w:val="24"/>
                <w:szCs w:val="24"/>
              </w:rPr>
              <w:t>依据《海南师范大学高校教师系列专业技术职务评审管理办法》（海师办</w:t>
            </w:r>
            <w:r>
              <w:rPr>
                <w:rFonts w:hint="eastAsia" w:cs="Arial" w:asciiTheme="minorEastAsia" w:hAnsiTheme="minorEastAsia"/>
                <w:kern w:val="0"/>
                <w:sz w:val="24"/>
                <w:szCs w:val="24"/>
              </w:rPr>
              <w:t>〔</w:t>
            </w:r>
            <w:r>
              <w:rPr>
                <w:rFonts w:hint="eastAsia" w:ascii="宋体" w:hAnsi="宋体" w:cs="Arial"/>
                <w:kern w:val="0"/>
                <w:sz w:val="24"/>
                <w:szCs w:val="24"/>
              </w:rPr>
              <w:t>2021</w:t>
            </w:r>
            <w:r>
              <w:rPr>
                <w:rFonts w:hint="eastAsia" w:ascii="宋体" w:hAnsi="宋体" w:eastAsia="宋体" w:cs="Arial"/>
                <w:kern w:val="0"/>
                <w:sz w:val="24"/>
                <w:szCs w:val="24"/>
              </w:rPr>
              <w:t>〕</w:t>
            </w:r>
            <w:r>
              <w:rPr>
                <w:rFonts w:hint="eastAsia" w:ascii="宋体" w:hAnsi="宋体" w:cs="Arial"/>
                <w:kern w:val="0"/>
                <w:sz w:val="24"/>
                <w:szCs w:val="24"/>
              </w:rPr>
              <w:t>87号文规定，经鉴定审核，</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杨伟业</w:t>
            </w:r>
            <w:r>
              <w:rPr>
                <w:rFonts w:hint="eastAsia" w:ascii="宋体" w:hAnsi="宋体" w:cs="Arial"/>
                <w:kern w:val="0"/>
                <w:sz w:val="24"/>
                <w:szCs w:val="24"/>
                <w:u w:val="single"/>
              </w:rPr>
              <w:t xml:space="preserve"> </w:t>
            </w:r>
            <w:r>
              <w:rPr>
                <w:rFonts w:hint="eastAsia" w:ascii="宋体" w:hAnsi="宋体" w:cs="Arial"/>
                <w:kern w:val="0"/>
                <w:sz w:val="24"/>
                <w:szCs w:val="24"/>
              </w:rPr>
              <w:t>同志的申报材料真实完整，并经    年  月  日至    月   日公示无异议，同意推荐其参评</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教学科研型副教授</w:t>
            </w:r>
            <w:r>
              <w:rPr>
                <w:rFonts w:hint="eastAsia" w:ascii="宋体" w:hAnsi="宋体" w:cs="Arial"/>
                <w:kern w:val="0"/>
                <w:sz w:val="24"/>
                <w:szCs w:val="24"/>
                <w:u w:val="single"/>
              </w:rPr>
              <w:t xml:space="preserve"> </w:t>
            </w:r>
            <w:r>
              <w:rPr>
                <w:rFonts w:hint="eastAsia" w:ascii="宋体" w:hAnsi="宋体" w:cs="Arial"/>
                <w:kern w:val="0"/>
                <w:sz w:val="24"/>
                <w:szCs w:val="24"/>
                <w:u w:val="single"/>
                <w:lang w:val="en-US" w:eastAsia="zh-CN"/>
              </w:rPr>
              <w:t xml:space="preserve"> </w:t>
            </w:r>
            <w:r>
              <w:rPr>
                <w:rFonts w:hint="eastAsia" w:ascii="宋体" w:hAnsi="宋体" w:cs="Arial"/>
                <w:kern w:val="0"/>
                <w:sz w:val="24"/>
                <w:szCs w:val="24"/>
              </w:rPr>
              <w:t>专业技术资格职称。</w:t>
            </w:r>
          </w:p>
          <w:p>
            <w:pPr>
              <w:widowControl/>
              <w:spacing w:line="360" w:lineRule="exact"/>
              <w:ind w:firstLine="480" w:firstLineChars="200"/>
              <w:rPr>
                <w:rFonts w:ascii="宋体" w:hAnsi="宋体" w:cs="Arial"/>
                <w:kern w:val="0"/>
                <w:sz w:val="24"/>
                <w:szCs w:val="24"/>
              </w:rPr>
            </w:pPr>
          </w:p>
          <w:p>
            <w:pPr>
              <w:widowControl/>
              <w:jc w:val="center"/>
              <w:rPr>
                <w:rFonts w:ascii="宋体" w:hAnsi="宋体" w:cs="Arial"/>
                <w:kern w:val="0"/>
                <w:szCs w:val="21"/>
              </w:rPr>
            </w:pPr>
          </w:p>
          <w:p>
            <w:pPr>
              <w:widowControl/>
              <w:rPr>
                <w:rFonts w:ascii="宋体" w:hAnsi="宋体" w:cs="Arial"/>
                <w:kern w:val="0"/>
                <w:szCs w:val="21"/>
              </w:rPr>
            </w:pPr>
            <w:r>
              <w:rPr>
                <w:rFonts w:hint="eastAsia" w:ascii="宋体" w:hAnsi="宋体" w:cs="Arial"/>
                <w:kern w:val="0"/>
                <w:szCs w:val="21"/>
              </w:rPr>
              <w:t>材料审核人：              学院院长签字（盖章）：                 年   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ascii="宋体" w:hAnsi="宋体" w:cs="Arial"/>
                <w:kern w:val="0"/>
                <w:szCs w:val="21"/>
              </w:rPr>
            </w:pPr>
            <w:r>
              <w:rPr>
                <w:rFonts w:hint="eastAsia" w:ascii="宋体" w:hAnsi="宋体" w:cs="Arial"/>
                <w:kern w:val="0"/>
                <w:szCs w:val="21"/>
              </w:rPr>
              <w:t>代表性成果1名称：</w:t>
            </w:r>
          </w:p>
          <w:p>
            <w:pPr>
              <w:widowControl/>
              <w:jc w:val="left"/>
              <w:rPr>
                <w:rFonts w:ascii="宋体" w:hAnsi="宋体" w:cs="Arial"/>
                <w:kern w:val="0"/>
                <w:szCs w:val="21"/>
              </w:rPr>
            </w:pPr>
            <w:r>
              <w:rPr>
                <w:rFonts w:hint="eastAsia" w:ascii="宋体" w:hAnsi="宋体" w:cs="Arial"/>
                <w:kern w:val="0"/>
                <w:szCs w:val="21"/>
              </w:rPr>
              <w:t>Ultrasensitive flower-like TiO</w:t>
            </w:r>
            <w:r>
              <w:rPr>
                <w:rFonts w:hint="eastAsia" w:ascii="宋体" w:hAnsi="宋体" w:cs="Arial"/>
                <w:kern w:val="0"/>
                <w:szCs w:val="21"/>
                <w:vertAlign w:val="subscript"/>
              </w:rPr>
              <w:t>2</w:t>
            </w:r>
            <w:r>
              <w:rPr>
                <w:rFonts w:hint="eastAsia" w:ascii="宋体" w:hAnsi="宋体" w:cs="Arial"/>
                <w:kern w:val="0"/>
                <w:szCs w:val="21"/>
              </w:rPr>
              <w:t>/Ag substrate for SERS detection of pigments and melamine</w:t>
            </w:r>
          </w:p>
          <w:p>
            <w:pPr>
              <w:widowControl/>
              <w:jc w:val="left"/>
              <w:rPr>
                <w:rFonts w:ascii="宋体" w:hAnsi="宋体" w:cs="Arial"/>
                <w:kern w:val="0"/>
                <w:szCs w:val="21"/>
              </w:rPr>
            </w:pPr>
            <w:r>
              <w:rPr>
                <w:rFonts w:hint="eastAsia" w:ascii="宋体" w:hAnsi="宋体" w:cs="Arial"/>
                <w:kern w:val="0"/>
                <w:szCs w:val="21"/>
              </w:rPr>
              <w:t>代表性成果2名称：</w:t>
            </w:r>
          </w:p>
          <w:p>
            <w:pPr>
              <w:widowControl/>
              <w:jc w:val="left"/>
              <w:rPr>
                <w:rFonts w:ascii="宋体" w:hAnsi="宋体" w:cs="Arial"/>
                <w:kern w:val="0"/>
                <w:szCs w:val="21"/>
              </w:rPr>
            </w:pPr>
            <w:r>
              <w:rPr>
                <w:rFonts w:hint="eastAsia" w:ascii="宋体" w:hAnsi="宋体" w:cs="Arial"/>
                <w:kern w:val="0"/>
                <w:szCs w:val="21"/>
              </w:rPr>
              <w:t>Recyclable Ag-Deposited TiO</w:t>
            </w:r>
            <w:r>
              <w:rPr>
                <w:rFonts w:hint="eastAsia" w:ascii="宋体" w:hAnsi="宋体" w:cs="Arial"/>
                <w:kern w:val="0"/>
                <w:szCs w:val="21"/>
                <w:vertAlign w:val="subscript"/>
              </w:rPr>
              <w:t>2</w:t>
            </w:r>
            <w:r>
              <w:rPr>
                <w:rFonts w:hint="eastAsia" w:ascii="宋体" w:hAnsi="宋体" w:cs="Arial"/>
                <w:kern w:val="0"/>
                <w:szCs w:val="21"/>
              </w:rPr>
              <w:t xml:space="preserve"> SERS Substrate for Ultrasensitive Malachite Green Detection</w:t>
            </w: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申报人答辨情况：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ZDBSK--GBK1-0">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001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192297"/>
    </w:sdtPr>
    <w:sdtContent>
      <w:sdt>
        <w:sdtPr>
          <w:id w:val="98381352"/>
        </w:sdtPr>
        <w:sdtContent>
          <w:p>
            <w:pPr>
              <w:pStyle w:val="3"/>
              <w:jc w:val="right"/>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013125"/>
    </w:sdtPr>
    <w:sdtContent>
      <w:sdt>
        <w:sdtPr>
          <w:id w:val="19013124"/>
        </w:sdtPr>
        <w:sdtContent>
          <w:p>
            <w:pPr>
              <w:pStyle w:val="3"/>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21</w:t>
            </w:r>
            <w:r>
              <w:rPr>
                <w:b/>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NhYmM5NzJjZTA1ZWI0MTgyZDI2ZjRjN2FiMzEwNjE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4902B23"/>
    <w:rsid w:val="04F82111"/>
    <w:rsid w:val="0643325A"/>
    <w:rsid w:val="08845D0B"/>
    <w:rsid w:val="09704EF4"/>
    <w:rsid w:val="0A9B39E1"/>
    <w:rsid w:val="0DC63CC2"/>
    <w:rsid w:val="10FF550F"/>
    <w:rsid w:val="146D7590"/>
    <w:rsid w:val="153B3244"/>
    <w:rsid w:val="16635DA7"/>
    <w:rsid w:val="16EF5194"/>
    <w:rsid w:val="17812B82"/>
    <w:rsid w:val="192865A3"/>
    <w:rsid w:val="1A7F25C7"/>
    <w:rsid w:val="1AED2D17"/>
    <w:rsid w:val="1C5B5A42"/>
    <w:rsid w:val="1CD47F2F"/>
    <w:rsid w:val="1E1E083D"/>
    <w:rsid w:val="1FF561AE"/>
    <w:rsid w:val="20097C80"/>
    <w:rsid w:val="20FA0AB6"/>
    <w:rsid w:val="26C836D0"/>
    <w:rsid w:val="26F6356B"/>
    <w:rsid w:val="27111B1F"/>
    <w:rsid w:val="2A20470B"/>
    <w:rsid w:val="2A685020"/>
    <w:rsid w:val="2B5A268B"/>
    <w:rsid w:val="2CBF0E1F"/>
    <w:rsid w:val="2F884A93"/>
    <w:rsid w:val="325B3C71"/>
    <w:rsid w:val="338F715B"/>
    <w:rsid w:val="33D6278A"/>
    <w:rsid w:val="34BE4344"/>
    <w:rsid w:val="38BA425C"/>
    <w:rsid w:val="393957E5"/>
    <w:rsid w:val="3CB1259C"/>
    <w:rsid w:val="3D1B6DFC"/>
    <w:rsid w:val="3F297571"/>
    <w:rsid w:val="4199148E"/>
    <w:rsid w:val="41F82707"/>
    <w:rsid w:val="4297467A"/>
    <w:rsid w:val="432A4780"/>
    <w:rsid w:val="43D9101E"/>
    <w:rsid w:val="479B5EEB"/>
    <w:rsid w:val="480D0A70"/>
    <w:rsid w:val="499C1040"/>
    <w:rsid w:val="49C05A15"/>
    <w:rsid w:val="49DF4468"/>
    <w:rsid w:val="4D820AF8"/>
    <w:rsid w:val="501E6ED7"/>
    <w:rsid w:val="51260C91"/>
    <w:rsid w:val="5155763A"/>
    <w:rsid w:val="53490687"/>
    <w:rsid w:val="54022F34"/>
    <w:rsid w:val="55FA199A"/>
    <w:rsid w:val="588D5877"/>
    <w:rsid w:val="59E84477"/>
    <w:rsid w:val="59F6140C"/>
    <w:rsid w:val="67F21651"/>
    <w:rsid w:val="6A305341"/>
    <w:rsid w:val="6AC141C7"/>
    <w:rsid w:val="6C8B724B"/>
    <w:rsid w:val="6E164E8B"/>
    <w:rsid w:val="72202E25"/>
    <w:rsid w:val="72704EB1"/>
    <w:rsid w:val="748C1DC1"/>
    <w:rsid w:val="74B377CA"/>
    <w:rsid w:val="76BE7391"/>
    <w:rsid w:val="7B7F3815"/>
    <w:rsid w:val="7BD30C73"/>
    <w:rsid w:val="7C4856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character" w:customStyle="1" w:styleId="12">
    <w:name w:val="fontstyle01"/>
    <w:basedOn w:val="7"/>
    <w:qFormat/>
    <w:uiPriority w:val="0"/>
    <w:rPr>
      <w:rFonts w:ascii="FZDBSK--GBK1-0" w:hAnsi="FZDBSK--GBK1-0" w:eastAsia="FZDBSK--GBK1-0" w:cs="FZDBSK--GBK1-0"/>
      <w:color w:val="231F20"/>
      <w:sz w:val="38"/>
      <w:szCs w:val="3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52flin</Company>
  <Pages>18</Pages>
  <Words>6566</Words>
  <Characters>7913</Characters>
  <Lines>81</Lines>
  <Paragraphs>22</Paragraphs>
  <TotalTime>5</TotalTime>
  <ScaleCrop>false</ScaleCrop>
  <LinksUpToDate>false</LinksUpToDate>
  <CharactersWithSpaces>9458</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走两步</cp:lastModifiedBy>
  <cp:lastPrinted>2022-11-17T03:10:00Z</cp:lastPrinted>
  <dcterms:modified xsi:type="dcterms:W3CDTF">2025-04-27T00:53:08Z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30D47DAD9AAC42E682495CA7025E11C9_13</vt:lpwstr>
  </property>
</Properties>
</file>